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</w:t>
      </w:r>
    </w:p>
    <w:p>
      <w:r>
        <w:rPr>
          <w:i/>
          <w:iCs/>
          <w:color w:val="666666"/>
        </w:rPr>
        <w:t xml:space="preserve">RECURSO ADMINISTRATIVO</w:t>
      </w:r>
    </w:p>
    <w:p/>
    <w:p>
      <w:r>
        <w:rPr>
          <w:b/>
          <w:bCs/>
        </w:rPr>
        <w:t xml:space="preserve">Recurso: </w:t>
      </w:r>
      <w:r>
        <w:t xml:space="preserve">08080617720174058200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Roberto De Oliveira Lima</w:t>
      </w:r>
    </w:p>
    <w:p>
      <w:r>
        <w:rPr>
          <w:b/>
          <w:bCs/>
        </w:rPr>
        <w:t xml:space="preserve">Julgado em: </w:t>
      </w:r>
      <w:r>
        <w:t xml:space="preserve">20/11/2023</w:t>
      </w:r>
    </w:p>
    <w:p/>
    <w:p>
      <w:r>
        <w:t xml:space="preserve">ADMINISTRATIVO. MANDADO DE SEGURANÇA. SUSPENSÃO DE MEDIDAS EXPROPRIATÓRIAS. DENEGAÇÃO DA SEGURANÇA 1.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MANDADO DE SEGURANÇA. SUSPENSÃO DE MEDIDAS EXPROPRIATÓRIAS. DENEGAÇÃO DA SEGURANÇA </w:t>
      </w:r>
    </w:p>
    <w:p>
      <w:r>
        <w:t xml:space="preserve">1. Apelação interposta pelos impetrantes, GEAZI TELES BARBOSA e ESPÓLIO DE ALEXANDRE TELES DE ANDRADE, em face de sentença que denegou a segurança pleiteada em ação mandamental movida contra ato do SUPERINTENDENTE DO INCRA/PB, com intuito de que seja determinada a suspensão do processo administrativo nº 54320.000259/2015-51, assim como que se abstenha de tomar qualquer medida expropriatória contra os impetrantes em relação às fazendas Primavera e Rio Preto, até o desfecho desta impetração;</w:t>
      </w:r>
    </w:p>
    <w:p>
      <w:r>
        <w:t xml:space="preserve">2. Relata a sentença: </w:t>
      </w:r>
    </w:p>
    <w:p>
      <w:r>
        <w:t xml:space="preserve">"Alegaram, na inicial, que: </w:t>
      </w:r>
    </w:p>
    <w:p>
      <w:r>
        <w:t xml:space="preserve">- em 03 de junho de 2014, a ATRUCP - Associação dos Trabalhadores Rurais da Comunidade Primavera protocolizou, na Superintendência Regional do INCRA da Paraíba, os documentos acostados nas fls.14, 15, 16 dos autos do processo administrativo nº 54320.000259/2015-51, no qual indicou a FAZENDA TAQUARI como domínio de terceiro passível de desapropriação por interesse social; </w:t>
      </w:r>
    </w:p>
    <w:p>
      <w:r>
        <w:t xml:space="preserve">- o Superintendente Regional do INCRA no Estado da Paraíba, ora Impetrado, editou a ORDEM DE SERVIÇO INCRA/SR-18/G/Nº 034/2014 (fls.31 do processo administrativo), onde designou uma comissão para proceder à vistoria preliminar, com início dos trabalhos em 03/11/2014, determinando o "prazo de 30 dias úteis para apresentação do relatório, nos imóveis rurais denominados FAZENDA RIO PRETO (Matrícula 39), e FAZENDA TARUMÃ (Matrícula 372), ambas no Município de Pedras de Fogo/PB; </w:t>
      </w:r>
    </w:p>
    <w:p>
      <w:r>
        <w:t xml:space="preserve">- houve um erro crasso por parte da Autoridade coatora, haja vista que a fazenda que deveria ser vistoriada era a fazenda Taquari, que sequer pertence aos impetrantes, e não as fazendas Tarumá e Rio Preto, demonstrando que tal processo administrativo já nasceu nulo. </w:t>
      </w:r>
    </w:p>
    <w:p>
      <w:r>
        <w:t xml:space="preserve">- os técnicos designados para realizarem a vistoria da terra violaram o parágrafo 2º do art. 2º da Lei 8.629/1993, vez que ingressaram no imóvel dos impetrantes sem a prévia comunicação legal válida; </w:t>
      </w:r>
    </w:p>
    <w:p>
      <w:r>
        <w:t xml:space="preserve">- os proprietários não somente não foram notificados regularmente da data do início da vistoria preliminar do INCRA, mas também os proprietários, herdeiros ou representantes não estavam presentes no momento em que o INCRA esteve no imóvel, do que se conclui que a falha formal não foi sanada, e o procedimento administrativo realizado pelo INCRA está eivado de nulidades; </w:t>
      </w:r>
    </w:p>
    <w:p>
      <w:r>
        <w:t xml:space="preserve">- o Parecer Técnico SR (18) T/N.º 001/2017, item 04, acostado nas fls. 174 do processo administrativo em questão confirma a ausência dos proprietários à vistoria do INCRA.";</w:t>
      </w:r>
    </w:p>
    <w:p>
      <w:r>
        <w:t xml:space="preserve">3. Analisando detidamente os autos, entende-se que a sentença não merece qualquer reparo, de modo que, pactuando-se com seus fundamentos, adota-se os mesmos como razões de decidir o mérito da contenda, pelo que se passa a transcrevê-la: </w:t>
      </w:r>
    </w:p>
    <w:p>
      <w:r>
        <w:t xml:space="preserve">"A autoridade impetrada, ao prestar as informações que lhe foram solicitadas, sustentou a validade da notificação prévia efetivada no procedimento administrativo ora impugnado e, em caráter preliminar, a ocorrência da decadência do direito de impetrar mandado de segurança, considerando a data da notificação a respeito da classificação do imóvel, decorrente da vistoria impugnada, efetivada em 02 de fevereiro de 2017, enquanto a presente ação de mandado de segurança somente foi manejada em novembro/2017, após o prazo decadencial de 120 dias. </w:t>
      </w:r>
    </w:p>
    <w:p>
      <w:r>
        <w:t xml:space="preserve">No entanto, não assiste razão, neste ponto, à referida autoridade, eis que o presente mandado de segurança tem como objetivo a suspensão/anulação do procedimento administrativo nº 54320.000259/2015-51, ainda em curso na data da impetração deste writ.Rejeito, portanto, a prejudicial. </w:t>
      </w:r>
    </w:p>
    <w:p>
      <w:r>
        <w:t xml:space="preserve">No mérito, encerrado o iter processual, permanecem inalterados os contornos da impetração. Assim, repiso os fundamentos da decisão que enfrentou o pedido de liminar, transcrevendo-as como razões de decidir desta sentença. </w:t>
      </w:r>
    </w:p>
    <w:p>
      <w:r>
        <w:t xml:space="preserve">Eis o seu teor, no que interessa: </w:t>
      </w:r>
    </w:p>
    <w:p>
      <w:r>
        <w:t xml:space="preserve">"Insurgem-se os impetrantes contra o processo administrativo nº 54320.000259/2015-51, em trâmite no INCRA-PB, no bojo do qual emanou a ordem de vistoria dos imóveis rurais de titularidade dos impetrantes, com vistas a sua expropriação para fins de reforma agrária. </w:t>
      </w:r>
    </w:p>
    <w:p>
      <w:r>
        <w:t xml:space="preserve">Alegam que houve erro na indicação do imóvel objeto dos trabalhos de vistoria, eis que não era para esta incidir sobre as Fazendas Primavera, Rio Preto e Tarumã, localizadas no Município de Pedras de Fogo/PB, como alvo do processo expropriatório, de domínio dos impetrantes, mas, sim, a Fazenda Taquari, que não lhes pertence. </w:t>
      </w:r>
    </w:p>
    <w:p>
      <w:r>
        <w:t xml:space="preserve">Defendem que não foram previamente notificados sobre o início dos trabalhos de avaliação e vistoria, acarretando o vício na nulidade do procedimento. </w:t>
      </w:r>
    </w:p>
    <w:p>
      <w:r>
        <w:t xml:space="preserve">De entrada, cumpre salientar que o INCRA, segundo o Decreto nº 8.955, de 11 de janeiro de 2017, possui competência para promover e executar a reforma agrária: </w:t>
      </w:r>
    </w:p>
    <w:p>
      <w:r>
        <w:t xml:space="preserve">Art. 1o O Instituto Nacional de Colonização e Reforma Agrária - INCRA, autarquia federal criada pelo Decreto-Lei no 1.110, de 9 de julho de 1970, vinculada à Casa Civil da Presidência da República por meio da Secretaria Especial de Agricultura Familiar e do Desenvolvimento Agrário, tem sede e foro em Brasília, Distrito Federal, e atuação em todo o território nacional. </w:t>
      </w:r>
    </w:p>
    <w:p>
      <w:r>
        <w:t xml:space="preserve">Parágrafo único. O INCRA tem suas competências estabelecidas na Lei no 4.504, de 30 de novembro de 1964, e em legislação complementar, em especial as que se referem à promoção e à execução da reforma agrária e da colonização. (GRIFO NOSSO) </w:t>
      </w:r>
    </w:p>
    <w:p>
      <w:r>
        <w:t xml:space="preserve">Disso se infere que ao INCRA é permitido se utilizar dos mecanismos legais necessários à concretização de seu munus, desde que em obediência aos ditames consagrados no ordenamento jurídico. </w:t>
      </w:r>
    </w:p>
    <w:p>
      <w:r>
        <w:t xml:space="preserve">A reforma agrária busca atender ao postulado constitucional do direito à moradia e à subsistência, principalmente na área rural, onde a sobrevivência, regra geral, ocorre por meio da exploração dos recursos naturais encontrados na parcela de terra habitada. </w:t>
      </w:r>
    </w:p>
    <w:p>
      <w:r>
        <w:t xml:space="preserve">Nesse passo, como órgão responsável pela promoção e execução da reforma agrária no país, o INCRA, não raro, se vale de medidas expropriatórias para atender ao interesse público indisponível, qual seja o anseio de parte da população ruralista que ainda carece de área territorial tanto para fins de moradia como para o labor. </w:t>
      </w:r>
    </w:p>
    <w:p>
      <w:r>
        <w:t xml:space="preserve">No caso de que se cuida, a prova documental produzida pelos próprios impetrantes demonstra que, no processo administrativo em questão, consta a devida notificação prévia dos impetrantes, a respeito da vistoria a se realizar nos imóveis rurais indicados na inicial (Id nº 4058200.1845077, pág. 01), de acordo com a matrícula informada no próprio ofício de notificação, quais sejam: as fazendas Rio Preto, Primavera, Gerizin e Tarumã, todas pertencentes aos impetrantes, conforme as certidões cartorárias de Ids nºs 4058200.1845082, págs. 13 e 14, e 4058200.1845085, págs. 22 e 23, a despeito desta impetração se limitar a apenas duas destas - PRIMAVERA e RIO PRETO. </w:t>
      </w:r>
    </w:p>
    <w:p>
      <w:r>
        <w:t xml:space="preserve">Ademais, de modo contrário ao que afirmam os impetrantes, tenho que a notificação apenas de GEAZI TELES BARBOSA, em detrimento dos herdeiros de ALEXANDRE TELES DE ANDRADE, aproveita a estes na medida em que o primeiro impetrante, GEAZI TELES BARBOSA, na qualidade de inventariante, representa o espólio de ALEXANDRE TELES DE ANDRADE, que é co-proprietário dos imóveis rurais em discussão, juntamente com o primeiro impetrante. </w:t>
      </w:r>
    </w:p>
    <w:p>
      <w:r>
        <w:t xml:space="preserve">Assim, à primeira vista, não constato vício na decisão proferida no processo administrativo 54320.000259/2015-51, que determinou a avaliação e vistoria dos referidos imóveis, por não importar em cerceamento do direito de defesa a notificação prévia realizada na pessoa do representante do Espólio e também co-proprietário dos imóveis rurais vistoriados. </w:t>
      </w:r>
    </w:p>
    <w:p>
      <w:r>
        <w:t xml:space="preserve">Igualmente, não vejo, neste exame preliminar, relevância no argumento de que houve erro administrativo, porque determinada a vistoria e avaliação de imóveis rurais distintos daquele indicado pela associação rural, tendo em conta que a lei de regência não vincula o desencadeamento do procedimento expropriatório ao imóvel indicado pela associação civil - ATRUCP, mas sim, à observância aos requisitos autorizadores da desapropriação para fins de reforma agrária, a exemplo dos percentuais de GUT e GEE conferidos à propriedade rural, para aferição do cumprimento de sua função social. </w:t>
      </w:r>
    </w:p>
    <w:p>
      <w:r>
        <w:t xml:space="preserve">Quanto à alegação de nulidade da vistoria porque realizada sem a presença dos impetrantes, igualmente não impressiona. Primeiro, porque foram previamente notificados dos trabalhos a serem desenvolvidos nas duas propriedades, com a antecedência prevista na norma regulamentar (menos de 30 dias entre a notificação e a vistoria), de sorte que sua alegada ausência não decorreu do seu desconhecimento. Logo, não é oponível à autarquia. Segundo, porque a vistoria foi acompanhada dos arrendatários dos imóveis, da associação dos trabalhadores rurais local - a ATRUCP; como também porque se extrai do procedimento administrativo que os impetrantes exerceram plenamente seu direito de defesa, valendo-se das impugnações administrativas previstas no procedimento, comparecendo a audiência de conciliação extrajudicial etc." </w:t>
      </w:r>
    </w:p>
    <w:p>
      <w:r>
        <w:t xml:space="preserve">No mesmo sentido, encaminhou-se a decisão proferida no agravo de instrumento nº. 0811239-93.2017.4.05.0000, conforme segue: </w:t>
      </w:r>
    </w:p>
    <w:p>
      <w:r>
        <w:t xml:space="preserve">"EMENTA </w:t>
      </w:r>
    </w:p>
    <w:p>
      <w:r>
        <w:t xml:space="preserve">ADMINISTRATIVO. PROCESSUAL CIVIL. MANDADO DE SEGURANÇA. DESAPROPRIAÇÃO. NOTIFICAÇÃO PRÉVIA REALIZADA. AUSÊNCIA DE ILEGALIDADE NO PROCESSO ADMINISTRATIVO.</w:t>
      </w:r>
    </w:p>
    <w:p>
      <w:r>
        <w:t xml:space="preserve">1. Agravo de instrumento interposto por GEAZI TELES BARBOSA contra decisão que indeferiu liminar pleiteada em ação mandamental movida contra ato do SUPERINTENDENTE DO INCRA NA PARAÍBA, objetivando a suspensão do processo administrativo nº 54320.000259/2015-51, bem como a determinação de que se abstenha de tomar qualquer medida expropriatória em relação às fazendas Primavera e Rio Preto, até o final da demanda.</w:t>
      </w:r>
    </w:p>
    <w:p>
      <w:r>
        <w:t xml:space="preserve">2. Visitar o imóvel a ser desapropriado não é procedimento rápido e nem se faz necessário ou útil que o desapropriado acompanhe os passos do perito. A notificação prévia objetiva fixar o estado do bem, a não admitir alteração ou a introdução de benfeitorias indenizáveis, e não a companhia do proprietário durante os trabalhos do perito. Afinal, todas as conclusões a que chegar o laudo serão explicitadas, oportunizando ao desapropriado a elaboração de defesa conveniente. Assim, não é imprescindível que da notificação conste o momento da realização da vistoria.</w:t>
      </w:r>
    </w:p>
    <w:p>
      <w:r>
        <w:t xml:space="preserve">3. De fato, a desapropriação tem um procedimento prévio, que é oficial, e depois a fase de defesa, onde o réu poderá impugnar o resultado da avaliação, contestando a ação de desapropriação.</w:t>
      </w:r>
    </w:p>
    <w:p>
      <w:r>
        <w:t xml:space="preserve">4. Na fase de análise prévia, de vistoria, o INCRA apenas tem que comunicar ao proprietário do imóvel que a mesma será realizada, mas essa comunicação não é necessariamente para que ele a acompanhe.</w:t>
      </w:r>
    </w:p>
    <w:p>
      <w:r>
        <w:t xml:space="preserve">5. No caso vertente, tendo a notificação sido feita, consoante reconhecido pela própria agravante, não há nenhuma ilicitude aparente que iniba o processo administrativo de ter seu curso.</w:t>
      </w:r>
    </w:p>
    <w:p>
      <w:r>
        <w:t xml:space="preserve">6. Agravo de Instrumento desprovido e agravo interno prejudicado." </w:t>
      </w:r>
    </w:p>
    <w:p>
      <w:r>
        <w:t xml:space="preserve">Desse modo, não tendo ocorrido qualquer fato, argumento, modificação legislativa ou jurisprudencial superveniente a justificar alteração dos fundamentos esgrimidos na decisão que apreciou a medida de urgência, mantenho o mesmo entendimento." </w:t>
      </w:r>
    </w:p>
    <w:p>
      <w:r>
        <w:t xml:space="preserve">4. Apelação improvida. </w:t>
      </w:r>
    </w:p>
    <w:p>
      <w:r>
        <w:t xml:space="preserve">LMV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2026-06-05T10:48:54.136Z</dcterms:created>
  <dcterms:modified xsi:type="dcterms:W3CDTF">2026-06-05T10:48:54.136Z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