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SUPERIOR TRIBUNAL DE JUSTIÇA</w:t>
      </w:r>
    </w:p>
    <w:p>
      <w:r>
        <w:rPr>
          <w:i/>
          <w:iCs/>
          <w:color w:val="666666"/>
        </w:rPr>
        <w:t xml:space="preserve">HABEAS CORPUS PREVENTIVO</w:t>
      </w:r>
    </w:p>
    <w:p/>
    <w:p>
      <w:r>
        <w:rPr>
          <w:b/>
          <w:bCs/>
        </w:rPr>
        <w:t xml:space="preserve">Recurso: </w:t>
      </w:r>
      <w:r>
        <w:t xml:space="preserve">08128995420194050000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Cid Marconi Gurgel De Souza</w:t>
      </w:r>
    </w:p>
    <w:p>
      <w:r>
        <w:rPr>
          <w:b/>
          <w:bCs/>
        </w:rPr>
        <w:t xml:space="preserve">Julgado em: </w:t>
      </w:r>
      <w:r>
        <w:t xml:space="preserve">16/10/2019</w:t>
      </w:r>
    </w:p>
    <w:p/>
    <w:p>
      <w:r>
        <w:t xml:space="preserve">PROCESSUAL PENAL. HABEAS CORPUS. PRISÃO PREVENTIVA. COMPETÊNCIA DA JUSTIÇA FEDERAL.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PENAL. HABEAS CORPUS. PRISÃO PREVENTIVA. COMPETÊNCIA DA JUSTIÇA FEDERAL. ART. 109, IV DA CF. INDÍCIOS DE PARTICIPAÇÃO EM CRIME DE ROUBO MAJORADO. CUMPRIMENTO DAS MEDIDAS DE BUSCA E APREENSÃO. CONVENIÊNCIA DA INSTRUÇÃO CRIMINAL E MANUTENÇÃO DA ORDEM PÚBLICA. PRISÃO. SUBSTITUIÇÃO POR MEDIDAS CAUTELARES DIVERSAS.</w:t>
      </w:r>
    </w:p>
    <w:p>
      <w:r>
        <w:t xml:space="preserve">1. Habeas Corpus, com pedido de liminar, impetrado por Maxsuel Vicente da Silva em favor do paciente VALDENIO JOSÉ DA SILVA, com vistas à desconstituição de prisão preventiva decretada pelo Juízo da 3ª Vara Federal do Estado de Alagoas, nos autos da Representação Criminal nº 0806623-63.2019.4.05.8000.</w:t>
      </w:r>
    </w:p>
    <w:p>
      <w:r>
        <w:t xml:space="preserve">2. Segundo a impetração, o paciente teria sido preso preventivamente em virtude da suposta prática dos crimes de roubo majorado (CP, art. 157, 2º-A), e organização criminosa (art. 2º da Lei nº 12.850/2013), ao fundamento de garantia da ordem pública.</w:t>
      </w:r>
    </w:p>
    <w:p>
      <w:r>
        <w:t xml:space="preserve">3. O fato criminoso, que é objeto da investigação, foi descrito como a abordagem e roubo de um caminhão contendo bens de servidores da Polícia Federal, que estariam de mudança, e outros bens pertencentes à própria Polícia Federal (coletes balísticos, distintivos, carregadores de pistola Glock, dentre outros).</w:t>
      </w:r>
    </w:p>
    <w:p>
      <w:r>
        <w:t xml:space="preserve">4. Presentes indícios que apontam para uma possível participação do paciente no delito investigado, notadamente o fato de que o endereço de uma de suas empresas é o mesmo em que cadastrados celulares utilizados pelos criminosos e, também, a circunstância de Valdenio José da Silva possuir histórico criminoso, já tendo sido preso e ainda respondendo por receptação qualificada e associação criminosa na 17ª Vara Criminal da Comarca da Capital de Alagoas (Processo 0501727-88.2009.8.02.0001), crimes cuja natureza teria estreita relação com o roubo de cargas.</w:t>
      </w:r>
    </w:p>
    <w:p>
      <w:r>
        <w:t xml:space="preserve">5. Entretanto, cumpridos os mandados de busca e apreensão e colhidas as informações necessárias à instrução do feito, notadamente os dados dos terminais móveis, não mais se apresentam, concretamente, elementos que justifiquem a manutenção da segregação cautelar do paciente para fins de conveniência da instrução criminal ou manutenção da ordem pública, impondo-se a sua substituição por alguma(s) da(s) medida(s) cautelar(es) prevista(s) no art. 319 do Código de Processo Penal, a critério do Juízo de Primeiro Grau. Ordem de Habeas Corpus concedida. </w:t>
      </w:r>
    </w:p>
    <w:p>
      <w:r>
        <w:t xml:space="preserve">mc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2026-06-05T12:21:53.028Z</dcterms:created>
  <dcterms:modified xsi:type="dcterms:W3CDTF">2026-06-05T12:21:53.028Z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