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CONCURSO FORMAL</w:t>
      </w:r>
    </w:p>
    <w:p>
      <w:r>
        <w:rPr>
          <w:i/>
          <w:iCs/>
          <w:color w:val="666666"/>
        </w:rPr>
        <w:t xml:space="preserve">CRIME FALIMENTAR E CRIME COMUM</w:t>
      </w:r>
    </w:p>
    <w:p/>
    <w:p>
      <w:r>
        <w:rPr>
          <w:b/>
          <w:bCs/>
        </w:rPr>
        <w:t xml:space="preserve">Recurso: </w:t>
      </w:r>
      <w:r>
        <w:t xml:space="preserve">00000376320174058307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Cid Marconi Gurgel De Souza</w:t>
      </w:r>
    </w:p>
    <w:p>
      <w:r>
        <w:rPr>
          <w:b/>
          <w:bCs/>
        </w:rPr>
        <w:t xml:space="preserve">Julgado em: </w:t>
      </w:r>
      <w:r>
        <w:t xml:space="preserve">15/01/2020</w:t>
      </w:r>
    </w:p>
    <w:p/>
    <w:p>
      <w:r>
        <w:t xml:space="preserve">PENAL E PROCESSUAL PENAL. APELAÇÃO. ROUBO MAJORADO À AGÊNCIA DOS CORREIOS (ART. 157, PARÁGRAFO 2º, I e II, DO CP) E TENTATIVA DE ROUBO (ART.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 E PROCESSUAL PENAL. APELAÇÃO. ROUBO MAJORADO À AGÊNCIA DOS CORREIOS (ART. 157, PARÁGRAFO 2º, I e II, DO CP) E TENTATIVA DE ROUBO (ART. 157, § I E II C/C O ART. 14, II). CONCURSO FORMAL. CRIME IMPOSSÍVEL NÃO CONFIGURADO. CRIME COMPLEXO. DOSIMETRIA DA PENA NÃO ADEQUADA. DETRAÇÃO DO PERÍODO CUMPRIDO EM PRISÃO PREVENTIVA. COMPETÊNCIA DO JUÍZO DA EXECUÇÃO. PROVIMENTO PARCIAL DO RECURSO.</w:t>
      </w:r>
    </w:p>
    <w:p>
      <w:r>
        <w:t xml:space="preserve">1.</w:t>
      </w:r>
    </w:p>
    <w:p>
      <w:r>
        <w:t xml:space="preserve">Trata-se de apelação interposta pelo réu contra sentença que condenou o réu à pena de reclusão de 12 (doze) anos, 07 (sete) meses e 06 (seis) dias e 210 (duzentos e dez) dias-multa, pela prática de conduta, em concurso formal, de crimes tipificados no art. 157, § 2º, I e II (duas vezes, na forma consumada) e do artigo 157, § I e II c/c o art. 14, II (na forma tentada).</w:t>
      </w:r>
    </w:p>
    <w:p>
      <w:r>
        <w:t xml:space="preserve">2. Em suas razões, o apelante pleiteia: a) o afastamento da tentativa do roubo do cofre, por se tratar de crime impossível; b)diminuição da pena aplicada sob a alegação de que uma pena de reclusão próxima a treze anos, levada em conta a pouca ofensividade do crime, mostra-se desproporcional e muito severa.; c) o abrandamento da multa aplicada, uma vez que o seu pagamento implicará em risco à própria subsistência da família; d) revogação imediata da prisão preventiva, dado que, aplicada a detração e remição, já teria direito ao cumprimento da pena atual em regime menos gravoso.</w:t>
      </w:r>
    </w:p>
    <w:p>
      <w:r>
        <w:t xml:space="preserve">3. Razão não assiste à defesa quando requer o afastamento da tentativa do roubo do cofre dos correios, por se tratar de crime impossível. Com efeito, ao contrário do que tenta convencer o apelante, o caso em exame retrata um fato com enquadramento perfeito na configuração do crime tentado (art. 14, II, Código Penal), uma vez que a consumação delitiva apenas não ocorreu por motivo alheio à vontade dos assaltantes que os impediu na obtenção de abertura do cofre.</w:t>
      </w:r>
    </w:p>
    <w:p>
      <w:r>
        <w:t xml:space="preserve">4. Segundo a jurisprudência do STJ, o crime de roubo, por ser delito complexo, tem iniciada sua execução quando o agente, visando a subtração de coisa alheia móvel, realiza o núcleo da conduta meio (constrangimento ilegal/lesão corporal ou vias de fato), ainda que não consiga atingir o crime fim (subtração da coisa almejada). Precedente: (STJ, RESP 201201809216, Min.(a) Maria Thereza De Assis Moura, Sexta Turma, DJE: 21/05/2014).</w:t>
      </w:r>
    </w:p>
    <w:p>
      <w:r>
        <w:t xml:space="preserve">5. De outro modo, razão assiste à defesa quando alega que a pena aplicada mostra-se desproporcional e elevada. Assim, verifica-se que apontou o magistrado que a culpabilidade do réu, expressada pela reprovabilidade de sua conduta, deveria ser considerada com alto grau de reprovabilidade. Entretanto, carece de fundamentação idônea a valoração negativa desta vetorial, uma vez que considerações genéricas ou com elementos inerentes ao próprio tipo penal não servem para o agravamento da pena, como se constata na espécie. (STJ, HC 536623/RJ - Dje15/10/2019).</w:t>
      </w:r>
    </w:p>
    <w:p>
      <w:r>
        <w:t xml:space="preserve">6. Quanto à personalidade do agente, fundamentou o magistrado que existem elementos de que a do condenado é voltada para crimes. Hodiernamente, contudo, o STJ tem admitido a valoração da circunstância judicial quando o juiz a fundamenta em circunstâncias concretas, não cabendo exasperar a pena com nessa circunstâncias judiciais com a simples afirmação genérica de que o réu possui "personalidade voltada para crimes": "A simples menção à "reprovabilidade da conduta social" do réu e à personalidade "voltada para a prática de crimes", desprovida de elementos concretos, não se presta à negativação das circunstâncias judiciais a que se referem, impossibilitando o acréscimo da pena-base." [...] (HC n. 329.803/PB, Rel. Ministra Maria Thereza de Assis Moura, 6ª T, DJe 25/11/2015) </w:t>
      </w:r>
    </w:p>
    <w:p>
      <w:r>
        <w:t xml:space="preserve">7. Em relação às consequências do crime, que devem ser entendidas como o resultado da ação do agente, a avaliação negativa de tal circunstância judicial mostrar-se-ia escorreita se o dano material causado ao bem jurídico tutelado se revelasse superior ao inerente ao tipo penal, o que não é o caso dos autos. Na verdade, não há nos autos a presença de consectários deletérios anormais do tipo para a vítima ou para terceiros.</w:t>
      </w:r>
    </w:p>
    <w:p>
      <w:r>
        <w:t xml:space="preserve">8. Para o cálculo da penalidade cominatória, o julgador deve dividir o procedimento em duas etapas: 1) inicialmente, deve ser fixada a quantidade de dias-multa; e 2) após, deve-se fixar o valor de cada dia-multa. Na primeira etapa, a análise das circunstâncias judiciais auxiliará o Julgador na fixação da pena-base, devendo-se obedecer ao critério trifásico. Assim, o total de dias-multa a ser estabelecido deve guardar correlação com a pena privativa de liberdade aplicada para, apenas em momento posterior, aferido o que dos autos consta acerca da capacidade econômica do réu, passar à fixação do valor pecuniário de cada dia-multa.</w:t>
      </w:r>
    </w:p>
    <w:p>
      <w:r>
        <w:t xml:space="preserve">9. No caso dos autos, analisadas as circunstâncias subjetivas e objetivas do art. 59 do Código Penal, mostrando-se apenas uma delas desfavorável ao acusado, deve ser fixada inicialmente em 20 (vinte) dias-multa. Em razão da incidência das causas de aumento de pena em ½ (metade) a pena de multa final deve ser de 30 (trinta) dias-multa. Considerando, ainda, a ocorrência do concurso formal de crimes, nos termos do art.72 do CP, as penas devem ser somadas, pelo que, para a sanção, ganha relevo o art. 14, II, do Código Penal. Assim, para o roubo tentado, a multa será pecuniária fixada levando em consideração a diminuição de 1/3 (um terço) determinada pelo artigo acima referido.</w:t>
      </w:r>
    </w:p>
    <w:p>
      <w:r>
        <w:t xml:space="preserve">10. No que tange ao pleito do apelante de concessão de revogação da prisão preventiva que lhe foi imputada, verifica-se que a finalidade de restrição da liberdade do réu (garantia da ordem pública) que manteve o réu encarcerado preventivamente pelo juízo a quo se mantém presente, uma vez que a dinâmica dos fatos que conduziram à condenação do apelante além da informação de que, após o crime dos autos, promoveu nova tentativa de roubo a uma agência do Banco do Brasil em Recife/PE, no dia 06/07/2015, portando armas, munições e utilizando-se de carro clonado na empreitada criminosa, denotando que há risco concreto de reiteração de ações delituosas por parte do acusado caso venha a ficar em liberdade.</w:t>
      </w:r>
    </w:p>
    <w:p>
      <w:r>
        <w:t xml:space="preserve">11. Ressalte-se que eventual possibilidade de detração da pena, nos termos do art. 42 do CP e consequente progressão de regime de cumprimento de pena devem ser analisados pelo juízo ao qual incumbe à análise do cumprimento da pena imposta, ou seja, o juiz da execução penal, e pelos meios judiciais cabíveis. Precedente (PROCESSO: 08005694120164058403, ACR - Apelação Criminal - , DESEMBARGADOR FEDERAL PAULO ROBERTO DE OLIVEIRA LIMA, 2ª Turma, JULGAMENTO: 04/04/2019). Apelação criminal provida em parte. </w:t>
      </w:r>
    </w:p>
    <w:p>
      <w:r>
        <w:t xml:space="preserve">CMB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2026-06-05T10:50:53.143Z</dcterms:created>
  <dcterms:modified xsi:type="dcterms:W3CDTF">2026-06-05T10:50:53.143Z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