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INTERPOSIÇÃO PROTELATÓRIA</w:t>
      </w:r>
    </w:p>
    <w:p/>
    <w:p>
      <w:r>
        <w:rPr>
          <w:b/>
          <w:bCs/>
        </w:rPr>
        <w:t xml:space="preserve">Recurso: </w:t>
      </w:r>
      <w:r>
        <w:t xml:space="preserve">08000632520174058405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13/10/2021</w:t>
      </w:r>
    </w:p>
    <w:p/>
    <w:p>
      <w:r>
        <w:t xml:space="preserve">EMBARGOS DE DECLARAÇÃO. PROCESSUAL CIVIL. TRANSMUDAÇÃO DA DETENÇÃO PARA POSSE. INOCORRÊNCIA.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negou prescrição aquisitiva de imóvel, rejeitando a tese de transmudação de detenção para posse. O tribunal confirmou que o mandatário agiu exclusivamente em nome da empresa proprietária, permanecendo como simples detentor, e rechaçou alegações de omissão e necessidade probatória já expressamente decididas. Embargos improvidos com condenação em multa por caráter protelatório e reiteração de conduta.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PROCESSUAL CIVIL. TRANSMUDAÇÃO DA DETENÇÃO PARA POSSE. INOCORRÊNCIA. INAPLICABILIDADE DO DISPOSTO NO ART. 10, § 1º, INCISO I DO CPC/73 E NO ART. 357, § 3º DO CPC/2015. DESNECESSIDADE DE DILAÇÃO PROBATÓRIA. QUESTÕES EXPRESSAMENTE ENFRENTADAS. OMISSÕES INEXISTENTES. REDISCUSSÃO. CARÁTER PROTELATÓRIO. REITERAÇÃO DE CONDUTA. MULTA ACIMA DO PERCENTUAL MÍNIMO. EMBARGOS IMPROVIDOS.</w:t>
      </w:r>
    </w:p>
    <w:p>
      <w:r>
        <w:t xml:space="preserve">1. Embargos de declaração opostos por Maria do Socorro Ciriaco Silva em face do acórdão que negou provimento à apelação por ela interposta em adversidade à sentença que julgou improcedente o pedido de declaração de prescrição aquisitiva do imóvel matriculado sob o nº 1.679 no Cartório Único de Touros, com área de 689,9 ha (seiscentos e oitenta e nove hectares e nove ares) e registrado em nome da SINMÉDIA S.A.</w:t>
      </w:r>
    </w:p>
    <w:p>
      <w:r>
        <w:t xml:space="preserve">2. O acórdão embargado não está eivado dos vícios alegados pela recorrente.</w:t>
      </w:r>
    </w:p>
    <w:p>
      <w:r>
        <w:t xml:space="preserve">3. No caso concreto, conquanto a embargante tenha defendido a tese de que a condição de mandatário de Peter Ewald Rentzing somente perdurou até 1997, quando seu ex-companheiro ajuizou ação de nulidade de escritura pública cumulada com cancelamento de registro em desfavor da SINMÉDIA S.A., restou decidido de forma clara e inteligível que Peter Ewald Rentzing sempre figurou como mero detentor da área adquirida pela SINMÉDIA S.A., pois somente se estabeleceu na propriedade da empresa porque a representava perante terceiros, tendo ele próprio admitido em sua defesa apresentada na ação reivindicatória nº 000027-94.2002.820.0158 (atualmente processo nº 0806195-64.2018.4.05.8405) que, ao longo de 120 (cento e vinte meses), ou seja, até o ajuizamento da ação reivindicatória, permaneceu cumprindo suas obrigações de mandatário da SINMÉDIA S.A.</w:t>
      </w:r>
    </w:p>
    <w:p>
      <w:r>
        <w:t xml:space="preserve">4. O entendimento adotado no acórdão embargado é o de que não há espaço para se concluir que o mandatário reunia os atributos caracterizadores da posse desde o momento em que passou a ocupar o imóvel da SINMÉDIA em 1989, pois jamais agiu em nome próprio, mas da empresa adquirente do imóvel que apenas o autorizou a gerir seus interesses no Brasil.</w:t>
      </w:r>
    </w:p>
    <w:p>
      <w:r>
        <w:t xml:space="preserve">5. Consta ainda do acórdão que, tendo sido ajuizada a ação reivindicatória antes do término do período em que Peter Ewald Rentzing entendia devida a remuneração de U$1.000,00 (mil dólares) mensais pela administração do imóvel matriculado sob o número nº 1.679 no Cartório Único de Touros, a única conclusão possível é a de que a condição de detentores tanto do mandatário quanto de sua companheira revelou-se imutável.</w:t>
      </w:r>
    </w:p>
    <w:p>
      <w:r>
        <w:t xml:space="preserve">6. A embargante novamente insiste ao alegar omissão relativa à incidência do disposto no art. 10, § 1º, inciso I do CPC/73, ponto explicitamente enfrentado e decidido contrariamente aos seus interesses.</w:t>
      </w:r>
    </w:p>
    <w:p>
      <w:r>
        <w:t xml:space="preserve">7. É facilmente perceptível que o acórdão vergastado analisou com profundidade a tese apresentada por Maria do Socorro Ciríaco Silva, decidindo pela inaplicabilidade da norma contida no dispositivo legal por ela invocado (art. 10, § 1º, inciso I do CPC/73).</w:t>
      </w:r>
    </w:p>
    <w:p>
      <w:r>
        <w:t xml:space="preserve">8. A fundamentação do acórdão embargado dedicou um capítulo exclusivo para rechaçar a alegação de nulidade da sentença por cerceamento do seu direito de defesa em decorrência de uma suposta violação frontal ao disposto no § 3º do art. 357 do CPC/2015 e da alegação de necessidade de dilação probatória.</w:t>
      </w:r>
    </w:p>
    <w:p>
      <w:r>
        <w:t xml:space="preserve">9. Basta a simples leitura do inteiro teor do acórdão, ou mesmo do caput e itens 8 a 14 da ementa para se chegar à conclusão de que não há qualquer parâmetro que possa conferir a mínima plausibilidade da alegação de omissão no que se refere à rejeitada tese de indispensabilidade da realização de audiência para saneamento do feito em cooperação com as partes, e mesmo da produção de outros meios de prova, como a testemunhal, já que a prova documental contém todos os subsídios necessários ao deslinde da controvérsia instaurada no presente feito.</w:t>
      </w:r>
    </w:p>
    <w:p>
      <w:r>
        <w:t xml:space="preserve">10. O dever de fundamentação do julgador está adstrito às questões capazes de infirmar o resultado adotado na decisão recorrida, o que foi inquestionavelmente observado no caso sob enfoque, conforme demonstrado.</w:t>
      </w:r>
    </w:p>
    <w:p>
      <w:r>
        <w:t xml:space="preserve">11. É pacífico na doutrina e na jurisprudência que a expressa menção ao número dos dispositivos legais apontados pela parte é desnecessária para que haja pré-questionamento, bastando que a matéria ali contida tenha sido objeto de debate e julgamento no acórdão, como é o caso.</w:t>
      </w:r>
    </w:p>
    <w:p>
      <w:r>
        <w:t xml:space="preserve">12. A embargante deseja provocar o rejulgamento do feito sob a ótica de fundamentos diversos dos acolhidos, vez que o acórdão vergastado não padece de qualquer vício que se amolde aos contornos dos embargos de declaração.</w:t>
      </w:r>
    </w:p>
    <w:p>
      <w:r>
        <w:t xml:space="preserve">13.</w:t>
      </w:r>
    </w:p>
    <w:p>
      <w:r>
        <w:t xml:space="preserve">Conforme alegado pela embargada em suas contrarrazões, conclusão outra não se pode chegar, senão a de que a embargante deduziu alegações em sentido diametralmente oposto ao real conteúdo do acórdão vergastado, opondo resistência injustificada ao andamento do processo.</w:t>
      </w:r>
    </w:p>
    <w:p>
      <w:r>
        <w:t xml:space="preserve">14. No caso concreto, todas as teses invocadas pela autora, ora embargada, foram devidamente enfrentadas, havendo ampla fundamentação, expressa, clara e inteligível para reconhecer que Peter Ewald Rentzing somente figurou como fâmulo da posse (aquele que exercita atos de posse em nome alheio), e que Maria do Socorro Ciríado Silva somente entrou e permaneceu na propriedade da SINMÉDIA S.A. por ato de permissão ou tolerância desta, pois fazia parte do núcleo familiar do mandatário da empresa, sem que jamais tenha ocorrido a transmudação da detenção para posse ad usucapionem.</w:t>
      </w:r>
    </w:p>
    <w:p>
      <w:r>
        <w:t xml:space="preserve">15. Mesmo diante desse panorama a embargante interpõe o presente recurso alegando que questões efetivamente apreciadas teriam sido simplesmente omitidas, o que consiste em ato de litigância de má-fé descrito no art. 80, inciso VII do CPC, sujeitando-a à aplicação da multa prevista no art. 1.026, § 2º deste mesmo diploma legal, haja vista que a conduta da embargante afronta os princípios da boa-fé processual e da duração razoável do processo, insculpidos no art. 5º do CPC/2015 e no art. 5º, LXXVII da CF/88.</w:t>
      </w:r>
    </w:p>
    <w:p>
      <w:r>
        <w:t xml:space="preserve">16. Face ao caráter manifestamente protelatório dos presentes embargos de declaração, a embargante deve ser condenada a pagar ao embargado de multa no percentual de 4% (quatro por cento) sobre o valor atualizado da causa, nos termos do art. 1.026, § 2º do CPC/15, considerando a reiteração da mesma conduta protelatória, o que não a impediu de novamente opor embargos de declaração com a finalidade de rediscutir questões decididas.</w:t>
      </w:r>
    </w:p>
    <w:p>
      <w:r>
        <w:t xml:space="preserve">17. Embargos de declaração conhecidos e improvidos.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2026-06-05T10:46:06.629Z</dcterms:created>
  <dcterms:modified xsi:type="dcterms:W3CDTF">2026-06-05T10:46:06.629Z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