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08062171520194058300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15/12/2021</w:t>
      </w:r>
    </w:p>
    <w:p/>
    <w:p>
      <w:r>
        <w:t xml:space="preserve">DIREITO CIVIL. PROCESSUAL CIVIL. AÇÃO MONITÓRIA. CONTRATO DE ABERTURA DE CRÉDITO.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de banco contra cliente por débito em contratos de crédito. A sentença que condenou o devedor foi mantida, pois não houve cumulação irregular de comissão de permanência com outros encargos, e a capitalização mensal de juros é legal quando previamente pactuada. Apelação improvida com majoração de sucumbência.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CIVIL. PROCESSUAL CIVIL. AÇÃO MONITÓRIA. CONTRATO DE ABERTURA DE CRÉDITO. CUMULAÇÃO INDEVIDA DA COMISSÃO DE PERMANÊNCIA COM TAXA DE RENTABILIDADE, JUROS REMUNERATÓRIOS E ENCARGOS DE MORA. INOCORRÊNCIA. SENTENÇA MANTIDA.</w:t>
      </w:r>
    </w:p>
    <w:p>
      <w:r>
        <w:t xml:space="preserve">1.</w:t>
      </w:r>
    </w:p>
    <w:p>
      <w:r>
        <w:t xml:space="preserve">Trata-se de apelação interposta contra sentença proferida pelo MM. Juízo da 3ª Vara Federal-PE, que extinguiu o processo com resolução do mérito, nos termos do art. 487, I, do CPC, para condenar a parte demandada ao pagamento das dívidas dos contratos bancários na importância de R$ 84.570,10 (Oitenta e quatro mil e quinhentos e setenta reais e dez centavos), na modalidade de Cheque Especial Caixa, Créd Sênior e Cartão de Crédito Caixa. O mandado inicial foi convertido em mandado executivo, com fundamento no art. 702, § 8.º, do CPC/2015.</w:t>
      </w:r>
    </w:p>
    <w:p>
      <w:r>
        <w:t xml:space="preserve">2. Em se tratando de ação monitória, a discussão sobre os valores, a forma de cálculo ou mesmo a existência do crédito é assegurada ao réu pela via dos embargos, que possibilitam uma ampla discussão da matéria. O rito monitório, tanto quanto o ordinário, possibilita a cognição plena, desde que a parte ré ofereça embargos. De fato, sendo embargada a pretensão monitória, o procedimento especial transmuda-se para o comum ordinário, com dilação probatória ampla, inclusive derivando para o embargante os ônus da produção probatória, na esteira do inciso II, do artigo 373, do Novo Código de Processo Civil.</w:t>
      </w:r>
    </w:p>
    <w:p>
      <w:r>
        <w:t xml:space="preserve">3. No que tange à capitalização dos juros, entendo que inexiste ilegalidade ou incostitucionalidade na sua prática. Isso porque, na linha do que foi definido pelo Superior Tribunal de Justiça, nos contratos bancários celebrados após a edição da Medida Provisória n.º 1.963-17, de 30 de março de 2000, reeditada sob o n.º 2.170-36/2001, é possível a cobrança da capitalização mensal dos juros, desde que previamente pactuada e obedecidos os parâmetros fixados na contratação.</w:t>
      </w:r>
    </w:p>
    <w:p>
      <w:r>
        <w:t xml:space="preserve">4. A CAIXA não efetuou a cobrança de comissão de permanência, substituindo-a por índices individualizados e não cumulados de atualização monetária, juros legais, juros de mora e multa por atraso.</w:t>
      </w:r>
    </w:p>
    <w:p>
      <w:r>
        <w:t xml:space="preserve">5. Legítima a dívida cobrada, razão pela qual deve ser mantida sentença de improcedência dos embargos monitórios e procedência da ação intentada pela CAIXA.</w:t>
      </w:r>
    </w:p>
    <w:p>
      <w:r>
        <w:t xml:space="preserve">6. Majoração da verba sucumbencial em mais 1% (um por cento), nos termos do art. 85, § 11, do CPC.</w:t>
      </w:r>
    </w:p>
    <w:p>
      <w:r>
        <w:t xml:space="preserve">7.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2026-06-05T07:42:58.159Z</dcterms:created>
  <dcterms:modified xsi:type="dcterms:W3CDTF">2026-06-05T07:42:58.159Z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