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08036989420194058000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RogÉRio De Meneses Fialho Moreira</w:t>
      </w:r>
    </w:p>
    <w:p>
      <w:r>
        <w:rPr>
          <w:b/>
          <w:bCs/>
        </w:rPr>
        <w:t xml:space="preserve">Julgado em: </w:t>
      </w:r>
      <w:r>
        <w:t xml:space="preserve">21/10/2020</w:t>
      </w:r>
    </w:p>
    <w:p/>
    <w:p>
      <w:r>
        <w:t xml:space="preserve">AÇÃO MONITÓRIA. CÉDULA DE CRÉDITO BANCÁRIO. CONTRATO MATRIZ. AVALISTA EX-SÓCIO. RESPONSABILIDADE SOLIDÁRIA.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Monitória de cédula de crédito bancário. Apelação da CEF contra sentença que excluiu avalista ex-sócio do polo passivo e condenou a CEF em indenização por danos morais. Apelação provida: mantém-se a responsabilidade solidária do avalista (exoneração exige notificação prévia ao credor, não realizada), reconhece-se a exigibilidade da dívida conforme contrato matriz, afasta-se a condenação em danos morais.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MONITÓRIA. CÉDULA DE CRÉDITO BANCÁRIO. CONTRATO MATRIZ. AVALISTA EX-SÓCIO. RESPONSABILIDADE SOLIDÁRIA. EXONERAÇÃO. INCABIMENTO. AUSÊNCIA DE NOTIFICAÇÃO. INDENIZAÇÃO INDEVIDA.. PROVA ESCRITA DA CONTRAÇÃO. EXIGIBILIDADE DO DÉBITO. PROVIMENTO DA APELAÇÃO.</w:t>
      </w:r>
    </w:p>
    <w:p>
      <w:r>
        <w:t xml:space="preserve">1. Apelação interposta pela CAIXA ECONÔMICA FEDERAL contra sentença que julgou procedentes em parte os embargos monitórios para: a) acolher a preliminar de ilegitimidade aventada nos embargos interpostos por JULIO CESAR DO CARMO MATOS para excluir o réu do polo passivo da presente monitória; b) rejeitar a preliminar de ilegitimidade aventada nos embargos interpostos por JÚLIO CESAR MATOS DOS SANTOS; c) excluir a dívida referente à operação 197 - CHEQUE EMPRESA CAIXA (CROT PJ), contrato n° 1106.003.00000148-5, no valor de R$ 22.633,54, em 02/04/2019, ao tempo em que declarou a autora, ora apelante, credora dos réus PAPEL DOURADO PAPELARIA LTDA e JÚLIO CESAR MATOS DOS SANTOS no montante de R$ 16.054,47, valor atualizado até 02/04/2019.A sentença também julgou procedente em parte a ação monitória e julgou procedente a reconvenção para condenar a CEF/Reconvinda ao pagamento de danos morais a JULIO CESAR DO CARMO MATOS, no valor de R$ 5.000,00 (cinco mil reais).</w:t>
      </w:r>
    </w:p>
    <w:p>
      <w:r>
        <w:t xml:space="preserve">2. O fato de o apelado JULIO CESAR DO CARMO MATOS figurar como codevedor não provém de sua (extinta) relação societária com a pessoa jurídica demandada, o que pouco importaria na presente demanda, pois o fato é que o apelado consta como avalista no instrumento contratual, tendo sido juntada aos autos inclusive nota promissória que o garantiu (contrato matriz ou "guarda-chuva"), ficando comprovada sua condição de devedor solidário. Sustenta que a operação GIROCAIXA, contratada em 14.09.2019, originou-se do CONTRATO DE RELACIONAMENTO nº 734-1106.003.00000148-5, avalisado/firmado em 18.8.2014, antes do seu desligamento da empresa. </w:t>
      </w:r>
    </w:p>
    <w:p>
      <w:r>
        <w:t xml:space="preserve">3. "A retirada de sócio do quadro societário da empresa locatária não importa na A mera retirada do sócio-fiador do quadro societário da empresa não implica a exoneração automática da fiança prestada, sendo necessária a notificação do credor nos termos do art. 835 do CC/2002, que não ocorreu na hipótese." (AgRg no AREsp 721.642/PR, Rel. Ministro RICARDO VILLAS BÔAS CUEVA, TERCEIRA TURMA, julgado em 13/03/2018, DJe 22/03/2018). </w:t>
      </w:r>
    </w:p>
    <w:p>
      <w:r>
        <w:t xml:space="preserve">4. "O contrato matriz, ou seja, o contrato em que constam as condições da contratação, efetivamente encontra-se nos autos. Nessa sistemática de contratação, à medida em que o cliente vai utilizando o crédito, através de operações geradas por meio de senha eletrônica, são gerados novos números relativos à operação específica de disponibilização dos valores já assegurados pelo contrato GIROCAIXA.</w:t>
      </w:r>
    </w:p>
    <w:p>
      <w:r>
        <w:t xml:space="preserve">5. A Cláusula Quinta da Cédula de Crédito Bancário - GIROCAIXA FÁCIL - OP 734 de nº 734-1106.003.00000148-5 é clara ao fixar que "(...) os juros e as taxas efetivamente aplicados serão aqueles vigentes na data da efetiva liberação de cada operação solicitada, ambos divulgados nos Postos de Atendimento da Caixa e informados à emitente previamente à finalização da solicitação de crédito, no canal eletrônico que utilizar, e também no extrato mensal que será encaminhado ao endereço de correspondência constante dos dados cadastrais da conta." Além disso, existe a previsão contratual de alteração do valor do crédito, para mais ou para menos, "a critério da CAIXA ou por solicitação do emitente" (Cláusula Segunda - Parágrafo único)..</w:t>
      </w:r>
    </w:p>
    <w:p>
      <w:r>
        <w:t xml:space="preserve">6. A pretensão da CAIXA merece acolhimento, mantendo-se o avalista no polo passivo da lide - com afastamento da indenização fixada na condenação em reconvenção - garantindo-se também a exigibilidade da dívida referente à operação 197 - CHEQUE EMPRESA CAIXA (CROT PJ), contrato n° 1106.003.00000148-5, no valor de R$ 22.633,54, em 02/04/2019.</w:t>
      </w:r>
    </w:p>
    <w:p>
      <w:r>
        <w:t xml:space="preserve">7. Apelação 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2026-06-05T07:36:19.404Z</dcterms:created>
  <dcterms:modified xsi:type="dcterms:W3CDTF">2026-06-05T07:36:19.404Z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