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APELAÇÃO</w:t>
      </w:r>
    </w:p>
    <w:p/>
    <w:p>
      <w:r>
        <w:rPr>
          <w:b/>
          <w:bCs/>
        </w:rPr>
        <w:t xml:space="preserve">Recurso: </w:t>
      </w:r>
      <w:r>
        <w:t xml:space="preserve">08171093520184058100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RogÉRio De Meneses Fialho Moreira</w:t>
      </w:r>
    </w:p>
    <w:p>
      <w:r>
        <w:rPr>
          <w:b/>
          <w:bCs/>
        </w:rPr>
        <w:t xml:space="preserve">Julgado em: </w:t>
      </w:r>
      <w:r>
        <w:t xml:space="preserve">28/10/2020</w:t>
      </w:r>
    </w:p>
    <w:p/>
    <w:p>
      <w:r>
        <w:t xml:space="preserve">EMBARGOS À AÇÃO MONITÓRIA. PRODUÇÃO DE PROVA PERICIAL. DESNECESSIDADE. APLICAÇÃO CDC.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monitória em que a CAIXA cobrava R$ 37.060,08. O tribunal rejeitou os embargos do devedor por falta de especificação concreta de abusividade contratual, confirmando que alegações genéricas de ilegalidade não bastam e que os juros praticados, embora altos, estavam alinhados às taxas médias de mercado para operações de risco elevado (cheque especial e CDC).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À AÇÃO MONITÓRIA. PRODUÇÃO DE PROVA PERICIAL. DESNECESSIDADE. APLICAÇÃO CDC. ALEGAÇÕES GENÉRICAS DE ABUSIVIDADE. INCABIMENTO. APELAÇÃO IMPROVIDA.</w:t>
      </w:r>
    </w:p>
    <w:p>
      <w:r>
        <w:t xml:space="preserve">1. Apelação interposta contra sentença que julgou improcedentes os embargos monitórios e a reconvenção, e julgou procedente o pedido deduzido na ação monitória, para considerar válida a cobrança pela CAIXA da quantia de R$ 37.060,08 (trinta e sete mil, sessenta reais e oito centavos).</w:t>
      </w:r>
    </w:p>
    <w:p>
      <w:r>
        <w:t xml:space="preserve">2. Rejeita-se a alegação de nulidade da sentença, considerando-se que as alegações do recorrente são claramente de direito, sendo despicienda a produção da prova pericial.</w:t>
      </w:r>
    </w:p>
    <w:p>
      <w:r>
        <w:t xml:space="preserve">3. A Súmula 297 do STJ já estabeleceu que "O Código de Defesa do Consumidor é aplicável às instituições financeiras." A hipótese é de incidência das regras do CDC. </w:t>
      </w:r>
    </w:p>
    <w:p>
      <w:r>
        <w:t xml:space="preserve">4. "Não cabe ao Judiciário revisar todos os termos de um contrato buscando eventual ilegalidade em seu conteúdo, ainda que se trate de relação jurídica em que se aplique o Código de defesa do consumidor. A especificação do pedido, esclarecimento da causa de pedir e indicação do prejuízo é tarefa da parte que o alega, sob pena inclusive de se dispensar tratamento diferenciado às partes." (PROCESSO: 08055626620164058100, AC/CE, DESEMBARGADOR FEDERAL RUBENS DE MENDONÇA CANUTO, 4ª Turma, JULGAMENTO: 06/07/2017). </w:t>
      </w:r>
    </w:p>
    <w:p>
      <w:r>
        <w:t xml:space="preserve">5. "É permitida a capitalização de juros com periodicidade inferior à anual em contratos celebrados com instituições integrantes do Sistema Financeiro Nacional a partir de 31/3/2000 (MP n. 1.963-17/2000, reeditada como MP n. 2.170-36/2001), desde que expressamente pactuada." (Súmula 539, SEGUNDA SEÇÃO, julgado em 10/06/2015, DJe 15/06/2015)Súmula 596 do STF: </w:t>
      </w:r>
    </w:p>
    <w:p>
      <w:r>
        <w:t xml:space="preserve">6. "A previsão no contrato bancário de taxa de juros anual superior ao duodécuplo da mensal é suficiente para permitir a cobrança da taxa efetiva anual contratada." (Súmula 541, SEGUNDA SEÇÃO, julgado em 10/06/2015, DJe 15/06/2015) </w:t>
      </w:r>
    </w:p>
    <w:p>
      <w:r>
        <w:t xml:space="preserve">7. O STJ fixou o entendimento segundo o qual os juros remuneratórios nos contratos de financiamento bancário são abusivos quando cobrados em percentual significativamente discrepante das taxas médias de mercado para o mesmo tipo de operação. (AgInt no REsp 1669617/PR, Rel. Ministro RICARDO VILLAS BÔAS CUEVA, TERCEIRA TURMA, julgado em 09/03/2020, DJe 13/03/2020).</w:t>
      </w:r>
    </w:p>
    <w:p>
      <w:r>
        <w:t xml:space="preserve">8. Na hipótese dos autos, verifica-se que os juros remuneratórios, apesar de altos, foram fixados de acordo com as práticas de mercado. Trata-se justamente de linhas de crédito de cheque especial e Crédito Direto ao Consumidor, de risco elevado, o que, em tese, justificaria a cobrança de taxas e encargos mais elevados, considerada a realidade do spread bancário brasileiro. Incabível, portanto, o pedido de indenização por dano moral formulado em reconvenção.</w:t>
      </w:r>
    </w:p>
    <w:p>
      <w:r>
        <w:t xml:space="preserve">9. Apelação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2026-06-05T07:35:09.457Z</dcterms:created>
  <dcterms:modified xsi:type="dcterms:W3CDTF">2026-06-05T07:35:09.457Z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