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ARRENDAMENTO RESIDENCIAL</w:t>
      </w:r>
    </w:p>
    <w:p>
      <w:r>
        <w:rPr>
          <w:i/>
          <w:iCs/>
          <w:color w:val="666666"/>
        </w:rPr>
        <w:t xml:space="preserve">LEI 10.188 DE 12-02-2001</w:t>
      </w:r>
    </w:p>
    <w:p/>
    <w:p>
      <w:r>
        <w:rPr>
          <w:b/>
          <w:bCs/>
        </w:rPr>
        <w:t xml:space="preserve">Recurso: </w:t>
      </w:r>
      <w:r>
        <w:t xml:space="preserve">08008301020194058303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Vladimir Souza Carvalho</w:t>
      </w:r>
    </w:p>
    <w:p>
      <w:r>
        <w:rPr>
          <w:b/>
          <w:bCs/>
        </w:rPr>
        <w:t xml:space="preserve">Julgado em: </w:t>
      </w:r>
      <w:r>
        <w:t xml:space="preserve">26/08/2024</w:t>
      </w:r>
    </w:p>
    <w:p/>
    <w:p>
      <w:r>
        <w:t xml:space="preserve">Ementa Administrativo e Civil. Apelação. Programa de Arrendamento Residencial [PAR].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CEF obteve reintegração de posse em imóvel do PAR após abandono e inadimplemento contratual dos ocupantes. Tribunal manteve sentença por reconhecer posse indireta da CEF como proprietária fiduciária e caracterizar esbulho possessório, rejeitando alegações de inadequação da via processual e exercício regular de posse pelos apelantes.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Ementa </w:t>
      </w:r>
    </w:p>
    <w:p>
      <w:r>
        <w:t xml:space="preserve">Administrativo e Civil. Apelação. Programa de Arrendamento Residencial [PAR]. Lei nº 10.188/2001. Cabimento do interdito proibitório. Caixa Econômica Federal [CEF] é proprietária do imóvel dado em garantia. Posse indireta do bem. Abandono do imóvel. Rescisão contratual. Esbulho possessório. Ocorrência. Reintegração de posse. Possibilidade. Sentença mantida. Apelação desprovida.</w:t>
      </w:r>
    </w:p>
    <w:p>
      <w:r>
        <w:t xml:space="preserve">1. Apelação interposta pelos particulares em face de sentença que julgou procedente o pedido da Caixa Econômica Federal [CEF] para a reintegração de posse em imóvel vinculado ao Programa de Arrendamento Residencial [PAR] e localizado no Residencial Poço da Cruz, no município de Serra Talhada [Pernambuco] irregularmente ocupados pelos réus, ora apelantes. Ademais, antecipou os efeitos da tutela para determinar, no prazo de 30 (trinta) dias e sob pena de desocupação forçada, o despejo do imóvel por parte dos réus. Condenou, ainda, os demandados em honorários advocatícios fixados em 10% (dez por cento) sobre o valor da causa, suspensa a exigibilidade da verba em razão da gratuidade da justiça deferida.</w:t>
      </w:r>
    </w:p>
    <w:p>
      <w:r>
        <w:t xml:space="preserve">2. A parte apelante alega, em síntese: a) a inadequação da via eleita, tendo em vista que a ação possessória não se confunde com ação de cobrança ou com demais pretensões que a apelada tiver para com os recorrentes. No caso dos autos, os requisitos do interdito proibitório não foram preenchidos nos termos do artigo 561 do Código de Processo Civil; b) a inépcia da inicial, ante a não comprovação de posse e da turbação; c) no mérito, o exercício regular de posse sobre o imóvel.</w:t>
      </w:r>
    </w:p>
    <w:p>
      <w:r>
        <w:t xml:space="preserve">3. Na decisão de id. 4050000.26622766, restou deferido o pedido de efeito suspensivo à apelação, em razão da decisão do Supremo Tribunal Federal [STF], na ADPF n. º 838/DF, que determinou a suspensão das ordens de desocupação de moradias de pessoas vulneráveis enquanto perdurasse o estado de calamidade decretado pelo Poder Legislativo federal por conta da pandemia da COVID-19.</w:t>
      </w:r>
    </w:p>
    <w:p>
      <w:r>
        <w:t xml:space="preserve">4. Na origem, trata-se de ação de interdito proibitório proposta pela CEF, visando à reintegração de posse em imóvel vinculado ao Programa de Arrendamento Residencial [PAR] e localizado no Residencial Poço da Cruz, no município de Serra Talhada [Pernambuco] irregularmente ocupados pelos réus, ora apelantes.</w:t>
      </w:r>
    </w:p>
    <w:p>
      <w:r>
        <w:t xml:space="preserve">5. Decorre dos autos que a CEF firmou com os réus, ora apelantes, contrato de compra e venda de imóvel, com pacto acessório de alienação fiduciária, no âmbito do Programa de Arrendamento Residencial (PAR) que, por sua vez, restou descumprido por parte dos apelantes, havendo ameaça à sua posse sobre o referido imóvel.</w:t>
      </w:r>
    </w:p>
    <w:p>
      <w:r>
        <w:t xml:space="preserve">6. Nesse sentido, o imóvel em discussão foi oferecido pelos apelantes como garantia fiduciária em operação de empréstimo bancário, conforme se observa do contrato sob id. 4058303.11945041, o que comprova a posse indireta da CEF no momento da propositura da ação em decorrência de sua condição de proprietária do bem. Assim, cabível o instrumento processual apresentado pela empresa pública autora.</w:t>
      </w:r>
    </w:p>
    <w:p>
      <w:r>
        <w:t xml:space="preserve">7. Sendo assim, a posse indireta da CEF em relação ao imóvel objeto destes autos decorre de sua condição de proprietária do bem, tendo realizado operação de alienação fiduciária à parte apelante com a condição de que, em caso de inadimplemento quanto às obrigações contratuais assumidas, o contrato poderia ser rescindido de pleno direito, com prévia notificação dos ocupantes para devolução do imóvel, sob pena de caracterização do esbulho.</w:t>
      </w:r>
    </w:p>
    <w:p>
      <w:r>
        <w:t xml:space="preserve">8. O contrato firmado pelas partes possui uma série de regras especiais diretamente relacionadas com o fomento ao acesso à moradia por famílias de baixa renda, razão pela qual trata-se de um contrato com forte regulamentação legal, na forma da Lei n. 10.188/2001.</w:t>
      </w:r>
    </w:p>
    <w:p>
      <w:r>
        <w:t xml:space="preserve">9. Cumpre salientar que o contrato traz uma série de obrigações ao comprador, sob pena de vencimento antecipado da avença (cláusula 15 - id. 4058303.16556761). Dentre elas, podem-se mencionar a ocupação imediata do imóvel, a destinação do imóvel alienado que não para a residência do beneficiário e de sua família e a vedação da transferência ou cessão a terceiros, no todo ou em parte, dos direitos e obrigações decorrentes desse contrato, sem autorização da CEF.</w:t>
      </w:r>
    </w:p>
    <w:p>
      <w:r>
        <w:t xml:space="preserve">10. Como bem fundamentou o magistrado de primeiro grau, ao promover um contrato de financiamento de moradia (id. 4058303.16556761) no qual, do total do valor do imóvel - de R$ 46.015,27 -, a parte beneficiária recebe um desconto de R$ 36.812,21, além da subvenção de R$ 3.055,40, restando-lhe o pagamento de R$ 6.147,66 em parcelas líquidas de R$ 51,23, é evidente que o Poder Público pretende tutelar a beneficiária de forma especial, a partir de um conjunto de características aptas a lhe qualificar como de baixa renda, na forma da legislação.</w:t>
      </w:r>
    </w:p>
    <w:p>
      <w:r>
        <w:t xml:space="preserve">11. Os documentos acostados junto à exordial indicam que não havia ninguém no imóvel (id. 4058303.11945041), o que restou corroborado pelas certidões dos oficiais de justiça do juízo (id. 4058303.11945041), que demonstraram a dificuldade de se encontrar qualquer morador no local, havendo até mesmo citação por hora certa.</w:t>
      </w:r>
    </w:p>
    <w:p>
      <w:r>
        <w:t xml:space="preserve">12. Posteriormente, sobreveio notícia de que o imóvel era ocupado pela filha dos contratantes, a Sra. Jéssica Sabrina, incluída no polo passivo. De mais a mais, o próprio teor da contestação manejada pelos réus indica que a parte requerida reconhece que o imóvel foi cedido à Sra. Jéssica Sabrina, pessoa estranha ao contrato firmado com a CEF. O que, por si só já autorizaria o vencimento antecipado da dívida com a consequente rescisão contratual.</w:t>
      </w:r>
    </w:p>
    <w:p>
      <w:r>
        <w:t xml:space="preserve">13. Se não bastasse a previsão contratual, cabe ressaltar que o art. 8, da Lei n. º 10.188/2001, apenas permite a cessão do imóvel a terceiro após 24 (vinte e quatro) meses após a quitação do contrato, exatamente como forma de evitar que o imóvel seja simples instrumento de especulação imobiliária.</w:t>
      </w:r>
    </w:p>
    <w:p>
      <w:r>
        <w:t xml:space="preserve">14. Em ato contínuo, o art. 9º da Lei n. º 10.188/2001, tratando do Programa de Arrendamento Residencial (PAR), determinou que o abandono do imóvel financiado no âmbito do PAR configura o esbulho possessório, podendo a CEF propor competente ação possessória. O mencionado programa possui a finalidade social de fortalecer o direito à habitação para as pessoas de baixa renda, cuja aquisição do bem se dá para fins puramente de moradia própria, o que não se verifica no presente caso. Precedente desta Corte: 0803502-27.2019.4.05.8000 Apelação Cível, des. Gustavo de Paiva Gadelha (convocado) - 3ª Turma - Data de Assinatura: 29 de janeiro de 2020).</w:t>
      </w:r>
    </w:p>
    <w:p>
      <w:r>
        <w:t xml:space="preserve">15. De mais a mais, garantir a posse do recorrente no bem desvirtuaria o programa ao ferir a isonomia que deve haver em todo processo seletivo, pois, prestigiaria um terceiro, adquirente do imóvel por meios irregulares, em detrimento dos demais interessados que respeitaram as normas estabelecidas e que realmente precisam dos benefícios concedidos pelo programa.</w:t>
      </w:r>
    </w:p>
    <w:p>
      <w:r>
        <w:t xml:space="preserve">16. Apelação desprovida. Majoração dos honorários advocatícios fixados em primeiro grau em 10% (dez por cento), a teor do § 11, do art. 85, do Código de Processo Civil, observando-se a suspensão da exigibilidade em face da gratuidade judiciária deferida. </w:t>
      </w:r>
    </w:p>
    <w:p>
      <w:r>
        <w:t xml:space="preserve">\afcrc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2026-06-05T10:37:57.107Z</dcterms:created>
  <dcterms:modified xsi:type="dcterms:W3CDTF">2026-06-05T10:37:57.107Z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