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CRIME CONTINUADO</w:t>
      </w:r>
    </w:p>
    <w:p>
      <w:r>
        <w:rPr>
          <w:i/>
          <w:iCs/>
          <w:color w:val="666666"/>
        </w:rPr>
        <w:t xml:space="preserve">RECEPTAÇÃO DOLOSA E PECULATO DOLOSO</w:t>
      </w:r>
    </w:p>
    <w:p/>
    <w:p>
      <w:r>
        <w:rPr>
          <w:b/>
          <w:bCs/>
        </w:rPr>
        <w:t xml:space="preserve">Recurso: </w:t>
      </w:r>
      <w:r>
        <w:t xml:space="preserve">08121752920214058100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Elio Wanderley De Siqueira Filho</w:t>
      </w:r>
    </w:p>
    <w:p>
      <w:r>
        <w:rPr>
          <w:b/>
          <w:bCs/>
        </w:rPr>
        <w:t xml:space="preserve">Julgado em: </w:t>
      </w:r>
      <w:r>
        <w:t xml:space="preserve">24/05/2023</w:t>
      </w:r>
    </w:p>
    <w:p/>
    <w:p>
      <w:r>
        <w:t xml:space="preserve">PROCESSO PENAL. RECURSO EM SENTIDO ESTRITO. DENÚNCIA NÃO RECEBIDA. CRIMES POLÍTICOS.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PROCESSO PENAL. RECURSO EM SENTIDO ESTRITO. DENÚNCIA NÃO RECEBIDA. CRIMES POLÍTICOS. ARTS. 15, 18 E 23, INCISO IV, DA REVOGADA LEI Nº 7.170/83. CONTINUIDADE NORMATIVO-TÍPICA. ATUAIS ARTS. 359-R, 359-L E 286 DO CÓDIGO PENAL. AUSÊNCIA DE JUSTA CAUSA. RECURSO NÃO PROVIDO.</w:t>
      </w:r>
    </w:p>
    <w:p>
      <w:r>
        <w:t xml:space="preserve">1. Recurso em sentido estrito interposto pelo Ministério Público Federal, com base no art. 581, inciso I, do CPP, diante da decisão de não recebimento de denúncia que noticia a prática de Crimes contra a Segurança Nacional.</w:t>
      </w:r>
    </w:p>
    <w:p>
      <w:r>
        <w:t xml:space="preserve">2. Não obstante a Lei nº 7.170/83 - Lei de Segurança Nacional - tenha sido revogada pela Lei nº 14.197/2021, permanece a competência desta Justiça Federal para processar e julgar os crimes previstos na novel legislação, nos termos do art. 109, inciso IV, da CF, tendo em vista a natureza política dos crimes nela previstos.</w:t>
      </w:r>
    </w:p>
    <w:p>
      <w:r>
        <w:t xml:space="preserve">3. Verifica-se a continuidade normativa dos tipos penais ora imputados aos denunciados, uma vez que as condutas delitivas antes previstas nos arts. 15, 18 e 23 da Lei nº 7.170/83, permanecem descritas, respectivamente, nos atuais arts. 359-R, 359-L e 286, inseridos no CP, pela Lei nº 14.197/2021.</w:t>
      </w:r>
    </w:p>
    <w:p>
      <w:r>
        <w:t xml:space="preserve">4. Na denúncia, devem constar elementos probatórios que justifiquem a sua admissão. Do contrário, não há como prosseguir com a fase instrutória processual. Embora não seja compatível com o sistema de garantias constitucional exigir-se, no juízo de admissibilidade, a certeza da autoria da infração, é preciso que esteja evidenciado o fumus comissi delicti, ou seja, a plausibilidade de que se trata de um fato criminoso, evitando-se, com isso, uma ação penal temerária.</w:t>
      </w:r>
    </w:p>
    <w:p>
      <w:r>
        <w:t xml:space="preserve">5. Mesmo nesta fase processual, em que se invoca o princípio do in dubio pro societate, tal regra não afasta a necessidade da presença de justa causa para a admissão da denúncia, visto que o princípio se aplica quando a dúvida paira sobre a autoria delitiva, e não, quanto à materialidade. Nessa linha, o Supremo Tribunal Federal já decidiu que "o aforismo in dubio pro societate que - malgrado as críticas procedentes à sua consistência lógica, tem sido reputada adequada a exprimir a inexigibilidade de certeza da autoria do crime, para fundar a pronúncia -, jamais vigorou no tocante à existência do próprio crime, em relação a qual se reclama esteja o juiz convencido" (HC 81.646).</w:t>
      </w:r>
    </w:p>
    <w:p>
      <w:r>
        <w:t xml:space="preserve">6. Inexiste, na inicial acusatória, qualquer elemento capaz de indicar que os acusados estariam agindo com motivação política, no intuito de atingir o Estado Democrático de Direito. Nesse aspecto, a denúncia é genérica e não aponta uma única evidência que permita tipificar as condutas ali narradas como crimes políticos.</w:t>
      </w:r>
    </w:p>
    <w:p>
      <w:r>
        <w:t xml:space="preserve">7. À luz dos concretos elementos apresentados, resulta evidenciado que, ao participarem do movimento paredista, a ação dos acusados tinha uma única finalidade: a de melhorar as condições salariais dos policiais e dos bombeiros. Tratou-se apenas e tão somente de adesão a movimento de greve, sem qualquer finalidade antidemocrática que pudesse ensejar o enquadramento das condutas na revel Lei nº 7.170/83, e, agora, na Lei nº 14.197/2021.</w:t>
      </w:r>
    </w:p>
    <w:p>
      <w:r>
        <w:t xml:space="preserve">8. Ao assim concluir, não se está a exigir que fatos típicos denunciados já estejam comprovados na inicial acusatória, mas sim, que, a partir dos indícios que a embasam, seja plausível a subsunção dos fatos narrados às normas penais incriminadoras. No caso concreto, considerando que os fatos narrados não constituem crimes políticos, deve ser mantida a decisão de rejeição da denúncia.</w:t>
      </w:r>
    </w:p>
    <w:p>
      <w:r>
        <w:t xml:space="preserve">9. Recurso em sentido estrito a que se nega provimento.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2026-06-05T10:45:43.353Z</dcterms:created>
  <dcterms:modified xsi:type="dcterms:W3CDTF">2026-06-05T10:45:43.353Z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