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EXTINÇÃO DO PROCESSO</w:t>
      </w:r>
    </w:p>
    <w:p/>
    <w:p>
      <w:r>
        <w:rPr>
          <w:b/>
          <w:bCs/>
        </w:rPr>
        <w:t xml:space="preserve">Recurso: </w:t>
      </w:r>
      <w:r>
        <w:t xml:space="preserve">08108286720214058000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Paulo Roberto De Oliveira Lima</w:t>
      </w:r>
    </w:p>
    <w:p>
      <w:r>
        <w:rPr>
          <w:b/>
          <w:bCs/>
        </w:rPr>
        <w:t xml:space="preserve">Julgado em: </w:t>
      </w:r>
      <w:r>
        <w:t xml:space="preserve">19/02/2024</w:t>
      </w:r>
    </w:p>
    <w:p/>
    <w:p>
      <w:r>
        <w:t xml:space="preserve">CIVIL E PROCESSUAL CIVIL. APELAÇÃO. AÇÃO MONITÓRIA. CELEBRAÇÃO DE ACORDO ENTRE AS PARTES.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monitória onde a Caixa Econômica Federal obteve sentença favorável, mas as partes celebraram acordo extrajudicial resolvendo a dívida durante o trâmite recursal. O tribunal extinguiu o processo por perda superveniente do interesse processual, prejudicando a apelação e afastando a discussão sobre honorários advocatícios.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 E PROCESSUAL CIVIL. APELAÇÃO. AÇÃO MONITÓRIA. CELEBRAÇÃO DE ACORDO ENTRE AS PARTES. PERDA DE OBJETO DA AÇÃO. EXTINÇÃO DO PROCESSO SEM RESOLUÇÃO DO MÉRITO. APELO PREJUDICADO.</w:t>
      </w:r>
    </w:p>
    <w:p>
      <w:r>
        <w:t xml:space="preserve">Trata-se de apelação interposta contra sentença rejeitou os embargos monitórios opostos pela ora apelante e julgou procedente a ação monitória ajuizada pela Caixa Econômica Federal; Sucede que, perlustrando os autos, verifica-se que a dívida objeto dos presentes autos foi resolvida com a homologação de acordo celebrado entre as presentes partes, nos termos do art. 487, III, "b" do CPC; Diante de tais circunstâncias, depreende-se a perda de objeto da presente ação, devendo ocorrer a extinção do processo por falta de interesse processual superveniente, conforme art. 485, VI, do CPC: "O juiz não resolverá o mérito quando: ...</w:t>
      </w:r>
    </w:p>
    <w:p>
      <w:r>
        <w:t xml:space="preserve">VI — verificar ausência de legitimidade ou de interesse processual;" Ademais, tendo havido a autocomposição das partes por meio de transação extrajudicial, resta também prejudicada a discussão acerca do arbitramento de honorários sucumbenciais; Apelação prejudicada. Processo extinto sem resolução do mérito, nos termos do artigo 485, VI, do CPC. </w:t>
      </w:r>
    </w:p>
    <w:p>
      <w:r>
        <w:t xml:space="preserve">dca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2026-06-05T07:37:38.014Z</dcterms:created>
  <dcterms:modified xsi:type="dcterms:W3CDTF">2026-06-05T07:37:38.014Z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