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JUIZADO ESPECIAL FEDERAL</w:t>
      </w:r>
    </w:p>
    <w:p>
      <w:r>
        <w:rPr>
          <w:i/>
          <w:iCs/>
          <w:color w:val="666666"/>
        </w:rPr>
        <w:t xml:space="preserve">GRATIFICAÇÃO - GCET</w:t>
      </w:r>
    </w:p>
    <w:p/>
    <w:p>
      <w:r>
        <w:rPr>
          <w:b/>
          <w:bCs/>
        </w:rPr>
        <w:t xml:space="preserve">Recurso: </w:t>
      </w:r>
      <w:r>
        <w:t xml:space="preserve">08213997020214058300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Vladimir Souza Carvalho</w:t>
      </w:r>
    </w:p>
    <w:p>
      <w:r>
        <w:rPr>
          <w:b/>
          <w:bCs/>
        </w:rPr>
        <w:t xml:space="preserve">Julgado em: </w:t>
      </w:r>
      <w:r>
        <w:t xml:space="preserve">07/10/2024</w:t>
      </w:r>
    </w:p>
    <w:p/>
    <w:p>
      <w:r>
        <w:t xml:space="preserve">Ementa Processual civil. Apelação e remessa necessária de sentença que, ratificando a liminar, concedeu a segurança garantido a participação do impetrante nas demais fases do processo seletivo do CESD 2-2021, em igualdade com os demais part…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Ementa </w:t>
      </w:r>
    </w:p>
    <w:p>
      <w:r>
        <w:t xml:space="preserve">Processual civil. Apelação e remessa necessária de sentença que, ratificando a liminar, concedeu a segurança garantido a participação do impetrante nas demais fases do processo seletivo do CESD 2-2021, em igualdade com os demais participantes do certame.</w:t>
      </w:r>
    </w:p>
    <w:p>
      <w:r>
        <w:t xml:space="preserve">1. A sentença está fundamentada no fato de que o a realização do Teste de Avaliação do Condicionamento Físico (TACF) haver sido suspensa em razão da Pandemia de COVID-19, sendo determinado pelo Comando-Geral do Pessoal: Art. 1º Fica determinado que as Juntas Especiais de Avalição do Condicionamento Físico (JEACF) de cada Organização Militar deverão atribuir a todos os militares que estão aptos a realizar o TACF, incluindo aqueles militares citados nos itens 5.5, 5.6, 5.7 do NSCA 54-3, pertencentes ao efetivo da respectiva OM e outras a elas jurisdicionadas para fins de aplicação do TACF, a condição de não realização "Justificada", devido à Pandemia da COVID 19, o Grau Final de "20 (vinte) pontos", a Conceituação Global "Satisfatório" e a Apreciação de Suficiência "APTO", de acordo com o item 6.4.1 da NSCA 54-3/2019. Parágrafo único. Para cumprimento das orientações previstas no caput deste artigo, cada OM deverá redigir uma ATA da Junta Especial de Avaliação do Condicionamento Físico (JEACF), a fim de publicar o motivo desses resultados em Boletim de Informações Pessoais, fazendo constar nas alterações dos militares.</w:t>
      </w:r>
    </w:p>
    <w:p>
      <w:r>
        <w:t xml:space="preserve">2. Também, por constar no Boletim de Informações Pessoais do impetrante apto para TACF (documento id. 20968685, p. 7), com a justificativa que de acordo com a Portaria 775/GC3, de 17 de JUL 2020, publicada no BCA nº 127, de 21 JUL 2020, recebendo a Apreciação de Suficiência APTO, Grau Final: 20.0 e Conceito Global: satisfatório como resultado.</w:t>
      </w:r>
    </w:p>
    <w:p>
      <w:r>
        <w:t xml:space="preserve">3. O ponto central do recurso se situa na comprovação do direito líquido e certo de o impetrante obter, para fins de sua promoção, a pontuação obtida no Teste de Avaliação do Condicionamento Físico (TACF), obtida na avalição de 2020.</w:t>
      </w:r>
    </w:p>
    <w:p>
      <w:r>
        <w:t xml:space="preserve">4. Observa-se, do documento de identificação 4058300.20968685, que o registro atinente ao TACF 2021 está inserido no Sistema de Informações Gerenciais de Pessoal do Comando da Aeronáutica (SIGPES).</w:t>
      </w:r>
    </w:p>
    <w:p>
      <w:r>
        <w:t xml:space="preserve">5. A própria administração expressamente autorizou sua utilização, em razão do impeditivo de realizar a avalição durante a pandemia da COVID-19.</w:t>
      </w:r>
    </w:p>
    <w:p>
      <w:r>
        <w:t xml:space="preserve">6. Ademais, em suas razões de recurso, a União não logra êxito em desconstituir as razões da parte impetrante.</w:t>
      </w:r>
    </w:p>
    <w:p>
      <w:r>
        <w:t xml:space="preserve">7. É certo que o mandado de segurança se destina a se destina a proteger direito líquido e certo violado, ou ameaçado por ato de autoridade. Em consequência, é ação eminentemente documental, sem espaço para subjetivismo. Ou seja, todo acervo probatório deve estar disponível no ato da impetração, bem como deve ser suficiente para demonstrar a violação ou ameaça ao direito de plano, a não deixar qualquer dúvida.</w:t>
      </w:r>
    </w:p>
    <w:p>
      <w:r>
        <w:t xml:space="preserve">8. No caso, resta comprovado que o impetrante possuía em seus registros a anotação exigida, configurando-se, assim a violação a direito líquido e certo a ser reparada pela via mandamental.</w:t>
      </w:r>
    </w:p>
    <w:p>
      <w:r>
        <w:t xml:space="preserve">9. Apelação e reexame necessário improvidos. </w:t>
      </w:r>
    </w:p>
    <w:p>
      <w:r>
        <w:t xml:space="preserve">\mapg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2026-06-05T12:10:13.378Z</dcterms:created>
  <dcterms:modified xsi:type="dcterms:W3CDTF">2026-06-05T12:10:13.378Z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