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JUÍZO DE RETRATAÇÃO</w:t>
      </w:r>
    </w:p>
    <w:p/>
    <w:p>
      <w:r>
        <w:rPr>
          <w:b/>
          <w:bCs/>
        </w:rPr>
        <w:t xml:space="preserve">Recurso: </w:t>
      </w:r>
      <w:r>
        <w:t xml:space="preserve">08074241520224050000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Manoel De Oliveira Erhardt</w:t>
      </w:r>
    </w:p>
    <w:p>
      <w:r>
        <w:rPr>
          <w:b/>
          <w:bCs/>
        </w:rPr>
        <w:t xml:space="preserve">Julgado em: </w:t>
      </w:r>
      <w:r>
        <w:t xml:space="preserve">14/10/2024</w:t>
      </w:r>
    </w:p>
    <w:p/>
    <w:p>
      <w:r>
        <w:t xml:space="preserve">PROCESSUAL CIVIL. AGRAVO DE INSTRUMENTO. PRETENSÃO DE REFORMA DE DECISÃO DE PRIMEIRO GRAU QUE DETERMINA A ARREMATANTES QUE SE ABSTENHAM DE DESAFIAR A POSSE DO IMÓVEL.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ajuizado por arrematantes de imóvel em leilão da Caixa Econômica Federal, buscando reforma de decisão que as proíbe de desafiar a posse do bem, objeto de disputa possessória anterior à arrematação. O tribunal manteve a decisão de primeiro grau, entendendo ser inadequado pronunciar-se sobre a posse enquanto tramita a ação de origem que discute o direito ao imóvel, evitando decisão sob elevada incerteza fática.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AGRAVO DE INSTRUMENTO. PRETENSÃO DE REFORMA DE DECISÃO DE PRIMEIRO GRAU QUE DETERMINA A ARREMATANTES QUE SE ABSTENHAM DE DESAFIAR A POSSE DO IMÓVEL. DISCUSSÃO PRETÉRITA À ARREMATAÇÃO SOBRE O DIREITO AO IMÓVEL. RECURSO APRECIADO SOB ESFERA DE INCERTEZA QUANTO AOS FATOS SOBRE OS QUAIS SE ASSENTA A DISPUTA POSSESSÓRIA. AGRAVO DE INSTRUMENTO IMPROVIDO. AGRAVO INTERNO PREJUDICADO.</w:t>
      </w:r>
    </w:p>
    <w:p>
      <w:r>
        <w:t xml:space="preserve">1. Recurso de agravo de instrumento formulado por partes arrematantes de imóvel em leilão da Caixa Econômica Federal, no qual pedem a reforma da decisão de primeiro grau, emitida pelo douto juízo da 6ª Vara Federal da Seção Judiciária do Ceará, que determinou que as arrematantes não desafiassem a posse do imóvel, localizado em Fortaleza/CE, e que é objeto de disputas possessória e reivindicatória pretéritas à aquisição em hasta. Referida disputa pretérita é a ação de origem, movida pela parte que financiou o imóvel arrematado contra terceiros.</w:t>
      </w:r>
    </w:p>
    <w:p>
      <w:r>
        <w:t xml:space="preserve">2. As partes agravantes até guardam um indício de plausibilidade de suas alegações, uma vez que buscam a posse de bem no qual figuram como a compradoras do imóvel em leilão da Caixa Econômica Federal, circunstância em que confiaram na fidedignidade das informações quanto ao bem arrematado.</w:t>
      </w:r>
    </w:p>
    <w:p>
      <w:r>
        <w:t xml:space="preserve">3. Contudo, a discussão possessória antecede - e muito - essa arrematação, efetuada em 2022. Realmente, Paulo Iran Juca de Sousa figura como aquele que obteve o financiamento imobiliário em fevereiro/2014 na Caixa Econômica Federal para a aquisição junto à ICAL Ltda de terreno localizado em Fortaleza/CE, objeto da controvérsia na demanda de origem. A área do imóvel é de aproximadamente 4 mil m².</w:t>
      </w:r>
    </w:p>
    <w:p>
      <w:r>
        <w:t xml:space="preserve">4. Por inadimplemento contratual, o imóvel foi a alienação extrajudicial pela CEF, tendo sido adquirido pelas agravantes, como já informado. A posse é disputada pela Rádio Uirapuru de Fortaleza Ltda, que alega haver vícios no registro imobiliário. Vale ressaltar que, na demanda de origem, enquanto esse agravo de instrumento é processo, há averiguação em cartórios sobre a temática registral.</w:t>
      </w:r>
    </w:p>
    <w:p>
      <w:r>
        <w:t xml:space="preserve">5. Paulo Iran adquiriu em fevereiro de 2014 - por alienação fiduciária perante a CEF -, o terreno na capital cearense. Em julho de 2015 promoveu ação reivindicatória contra a Rádio Uirapuru Ltda.</w:t>
      </w:r>
    </w:p>
    <w:p>
      <w:r>
        <w:t xml:space="preserve">6. Assim, é muito longeva a discussão possessória entre Paulo Iran e Rádio Uirapuru de Fortaleza Ltda.</w:t>
      </w:r>
    </w:p>
    <w:p>
      <w:r>
        <w:t xml:space="preserve">7. Não é prudente que nessa esfera judicial seja emitida manifestação possessória em favor de alguma das partes, ao menos enquanto não é solucionada a demanda de origem (0806246-78.2022.4.05.8100S), que ainda não foi sentenciada. Aprecia-se esse agravo de instrumento sob a mais elevada esfera de incerteza quanto aos fatos e sobre quem tem direito ao imóvel.</w:t>
      </w:r>
    </w:p>
    <w:p>
      <w:r>
        <w:t xml:space="preserve">8. É no juízo de origem a melhor sede para a cognição em maiores profundidade e extensão, razão pela qual não há razões para se apartar da decisão agravada, no ponto em que concedeu precariamente a tutela de urgência "para que Bruna Nunes Delfino e Teradela Empreendimentos se abstenham de quaisquer atos para desafiar a posse do imóvel em discussão, até ulterior decisão deste Juízo".</w:t>
      </w:r>
    </w:p>
    <w:p>
      <w:r>
        <w:t xml:space="preserve">9. Agravo de instrumento improvido. Agravo interno prejudicado. </w:t>
      </w:r>
    </w:p>
    <w:p>
      <w:r>
        <w:t xml:space="preserve">ELM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2026-06-05T09:09:33.272Z</dcterms:created>
  <dcterms:modified xsi:type="dcterms:W3CDTF">2026-06-05T09:09:33.272Z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