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</w:t>
      </w:r>
    </w:p>
    <w:p>
      <w:r>
        <w:rPr>
          <w:i/>
          <w:iCs/>
          <w:color w:val="666666"/>
        </w:rPr>
        <w:t xml:space="preserve">APREENSÃO DE VEÍCULO IMPORTADO</w:t>
      </w:r>
    </w:p>
    <w:p/>
    <w:p>
      <w:r>
        <w:rPr>
          <w:b/>
          <w:bCs/>
        </w:rPr>
        <w:t xml:space="preserve">Recurso: </w:t>
      </w:r>
      <w:r>
        <w:t xml:space="preserve">08039548320144058300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Manoel De Oliveira Erhardt</w:t>
      </w:r>
    </w:p>
    <w:p>
      <w:r>
        <w:rPr>
          <w:b/>
          <w:bCs/>
        </w:rPr>
        <w:t xml:space="preserve">Julgado em: </w:t>
      </w:r>
      <w:r>
        <w:t xml:space="preserve">20/03/2023</w:t>
      </w:r>
    </w:p>
    <w:p/>
    <w:p>
      <w:r>
        <w:t xml:space="preserve">ADMINISTRATIVO. MANDADO DE SEGURANÇA. APELAÇÃO DO IBAMA. APREENSÃO DE VEÍCULO. DESPROPORCIONALIDADE NA APLICAÇÃO DA SANÇÃO.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MANDADO DE SEGURANÇA. APELAÇÃO DO IBAMA. APREENSÃO DE VEÍCULO. DESPROPORCIONALIDADE NA APLICAÇÃO DA SANÇÃO. MANUTENÇÃO DA SENTENÇA. RECURSO IMPROVIDO.</w:t>
      </w:r>
    </w:p>
    <w:p>
      <w:r>
        <w:t xml:space="preserve">1. Apelação interposta pelo IBAMA em face de sentença que, confirmando a liminar deferida, concedeu a segurança para determinar que a autoridade coatora adote as medidas necessárias para liberação do veículo da marca Volkswagen, modelo kombi, cor branca, placa KKO-5211, objeto do Termo de Apreensão nº 65772 série E, vinculado ao Auto de Infração nº 9330 - Série, abstendo-se em definitivo do confisco do referido bem.</w:t>
      </w:r>
    </w:p>
    <w:p>
      <w:r>
        <w:t xml:space="preserve">2. A situação fática baseia-se na apreensão de veículo conduzido pelo ora apelado, ocorrida em 21/03/2014, por transportar 226Kg de caranguejo-uçá e 80Kg de guaiamum fêmeas abaixo do tamanho permitido, sem portar declaração de estoque ao órgão competente, tendo sido apontada infração à legislação ambiental (art. 70 c/c art. 72, II e IV da Lei 9.605/98; art. 3º, II e IV c/c art. 35, §U, I do Decreto 6.514/2008).</w:t>
      </w:r>
    </w:p>
    <w:p>
      <w:r>
        <w:t xml:space="preserve">3. Além da apreensão do veículo, fora aplicada multa no valor de R$ 11.120,00 (onze mil, cento e vinte reais) e apreendida a mercadoria transportada. Importa ressaltar que o objeto da presente demanda versa tão somente sobre liberação de veículo apreendido em razão de cometimento de infração ambiental.</w:t>
      </w:r>
    </w:p>
    <w:p>
      <w:r>
        <w:t xml:space="preserve">4. Não havendo controvérsia quanto ao objeto da demanda (apreensão do veículo), afasta-se a alegação de inadequação da via eleita.</w:t>
      </w:r>
    </w:p>
    <w:p>
      <w:r>
        <w:t xml:space="preserve">5. No mérito, alega o apelante que a sentença infringiu as teses proferidas no julgamento do RESP 1.814.845/CE - Tema 1036 - "A apreensão do instrumento utilizado na infração ambiental, fundada na atual redação do § 4º do art. 25 da Lei 9.605/1998, independe do uso específico, exclusivo ou habitual para a empreitada infracional" e no REsp 1.805.706/CE - Tema 1043 - "O proprietário do veículo apreendido em razão de infração de transporte irregular de madeira não titulariza direito público subjetivo de ser nomeado fiel depositário do bem, as providências dos arts. 105 e 106 do Decreto Federal n. 6.514/2008 competindo ao alvedrio da Administração Pública, em fundamentado juízo de oportunidade e de conveniência".</w:t>
      </w:r>
    </w:p>
    <w:p>
      <w:r>
        <w:t xml:space="preserve">6. O contexto fático conduzido nos autos foi no sentido de que o proprietário do veículo, ora apelado, não é comerciante de crustáceos, mas atua como autônomo no serviço de fretes, transportando pessoas e mercadorias entre municípios vizinhos do Grande Recife, sendo o principal instrumento de trabalho do apelado, com o qual mantém a si e sua família. Não houve comprovação de qualquer conexão do proprietário com a prática da infração ambiental, nem que o bem tinha destinação única e exclusiva à prática de ilícitos ambientais, tampouco que se destinasse ao transporte de madeira.</w:t>
      </w:r>
    </w:p>
    <w:p>
      <w:r>
        <w:t xml:space="preserve">7. Diante desse cenário, conclui-se que a Administração desviou da razoabilidade na aplicação da sanção, cuja desproporcionalidade restou evidente ao se levar em conta que o veículo pertence a terceiro, cuja renda deriva do transporte de pessoas e coisas, não tendo o impetrante/apelado questionado a apreensão do pescado nem a multa aplicada no Auto de Infração nº 9330 - Série E. Com efeito, por não se perquirir se o bem foi utilizado específica e exclusivamente para a atividade ilícita, resta afastada a aplicação do Tema 1036 do STJ, e, por não se tratar de transporte de madeiras, afasta-se também a incidência do Tema 1043 do STJ.</w:t>
      </w:r>
    </w:p>
    <w:p>
      <w:r>
        <w:t xml:space="preserve">8. Nesse sentido: TRF-5 - ApelRemNec: 08068514120154058400, Relator: DESEMBARGADOR FEDERAL CARLOS REBELO JUNIOR, Data de Julgamento: 08/07/2021, 1ª TURMA; TRF-5 - ApelRemNec: 08004156320154058401, Relator: DESEMBARGADOR FEDERAL LEONARDO HENRIQUE DE CAVALCANTE CARVALHO, Data de Julgamento: 03/08/2021, 2ª TURMA.</w:t>
      </w:r>
    </w:p>
    <w:p>
      <w:r>
        <w:t xml:space="preserve">9. Deve ser mantida a sentença, ratificando-se o entendimento de que, no caso concreto, revela-se desproporcional a apreensão do veículo, além da aplicação da multa ao apelado.</w:t>
      </w:r>
    </w:p>
    <w:p>
      <w:r>
        <w:t xml:space="preserve">10. Apelação improvida. </w:t>
      </w:r>
    </w:p>
    <w:p>
      <w:r>
        <w:t xml:space="preserve">MG3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2026-06-05T10:50:21.548Z</dcterms:created>
  <dcterms:modified xsi:type="dcterms:W3CDTF">2026-06-05T10:50:21.548Z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