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PREQUESTIONAMENTO</w:t>
      </w:r>
    </w:p>
    <w:p/>
    <w:p>
      <w:r>
        <w:rPr>
          <w:b/>
          <w:bCs/>
        </w:rPr>
        <w:t xml:space="preserve">Recurso: </w:t>
      </w:r>
      <w:r>
        <w:t xml:space="preserve">08168302620214058300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Cibele Benevides Guedes Da Fonseca</w:t>
      </w:r>
    </w:p>
    <w:p>
      <w:r>
        <w:rPr>
          <w:b/>
          <w:bCs/>
        </w:rPr>
        <w:t xml:space="preserve">Julgado em: </w:t>
      </w:r>
      <w:r>
        <w:t xml:space="preserve">07/04/2025</w:t>
      </w:r>
    </w:p>
    <w:p/>
    <w:p>
      <w:r>
        <w:t xml:space="preserve">DIREITO PROCESSUAL CIVIL. EMBARGOS DE DECLARAÇÃO. AÇÃO MONITÓRIA. FATURAS DE CARTÃO DE CRÉDITO.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manteve sentença procedente em parte de ação monitória movida pela Caixa contra devedores de faturas de cartão de crédito. O tribunal rejeitou os embargos por não identificar omissões, contradições ou obscuridades na decisão anterior, considerando que o acórdão analisou expressamente a incidência do CDC, a prescrição quinquenal aplicável e a impossibilidade de compensação com débitos distintos, sendo o inconformismo da parte mera discordância com o entendimento jurídico adotado, insuscetível de correção via embargos.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PROCESSUAL CIVIL. EMBARGOS DE DECLARAÇÃO. AÇÃO MONITÓRIA. FATURAS DE CARTÃO DE CRÉDITO. PRELIMINARES. INCIDÊNCIA DO CDC. PRESCRIÇÃO. REJEIÇÃO. MÉRITO. AUSÊNCIA DE ABUSIVIDADE OU ILEGALIDADE. COMPENSAÇÃO/ABATIMENTO. DÉBITOS DISTINTOS. INEXISTÊNCIA DE OBSCURIDADE, CONTRADIÇÃO OU OMISSÃO. PREQUESTIONAMENTO. REJEIÇÃO DOS EMBARGOS. </w:t>
      </w:r>
    </w:p>
    <w:p>
      <w:r>
        <w:t xml:space="preserve">I — CASO EM EXAME </w:t>
      </w:r>
    </w:p>
    <w:p>
      <w:r>
        <w:t xml:space="preserve">1. Embargos de declaração opostos por</w:t>
      </w:r>
    </w:p>
    <w:p>
      <w:r>
        <w:t xml:space="preserve">I — L. G. e</w:t>
      </w:r>
    </w:p>
    <w:p>
      <w:r>
        <w:t xml:space="preserve">I — D. B. G. em face do acórdão que negou provimento ao seu apelo para manter a sentença proferida que, nos autos da Ação Monitória movida pela CAIXA ECONÔMICA FEDERAL, julgou procedente em parte os embargos à monitória e determinou a exclusão dos autos dos contratos não apresentados, permanecendo a monitória com o Contrato apresentado. </w:t>
      </w:r>
    </w:p>
    <w:p>
      <w:r>
        <w:t xml:space="preserve">II — QUESTÃO EM DISCUSSÃO </w:t>
      </w:r>
    </w:p>
    <w:p>
      <w:r>
        <w:t xml:space="preserve">2. A questão em discussão consiste em verificar se o acórdão embargado incorreu em omissões quanto à análise da natureza contratual, a incidência do CDC e a compensação/abatimento de valores, assim como em contradição quanto ao regime prescricional aplicável.</w:t>
      </w:r>
    </w:p>
    <w:p>
      <w:r>
        <w:t xml:space="preserve">3. A embargante requer ainda o prequestionamento dos artigos 489, § 1º, inciso IV e artigo 1.022, ambos do CPC; artigo 206, § 3º, inciso VIII e § 5º, inciso I, ambos do Código Civil; Súmula nº 247 do STJ e CDC (Lei nº 8.078/90). </w:t>
      </w:r>
    </w:p>
    <w:p>
      <w:r>
        <w:t xml:space="preserve">III — RAZÕES DE DECIDIR </w:t>
      </w:r>
    </w:p>
    <w:p>
      <w:r>
        <w:t xml:space="preserve">4. É incabível o manejo dos embargos de declaração na busca por novo julgamento da matéria já decidida na decisão combatida.</w:t>
      </w:r>
    </w:p>
    <w:p>
      <w:r>
        <w:t xml:space="preserve">5. Em primeiro lugar, importa esclarecer que o Acórdão embargado já decidiu expressamente que em relação à análise da natureza contratual e a incidência das disposições do CDC, o referido diploma não afasta a necessidade de demonstração, efetiva e concreta, das razões pelas quais a planilha descritiva e evolutiva do débito não deve prosperar, tampouco foi apontado o valor que entende como devido, o índice que deveria ser aplicado ou qualquer outro tipo de equívoco da elaboração dos cálculos, como por exemplo, termo inicial e/ou final da incidência dos consectários legais (juros de mora e correção monetária).</w:t>
      </w:r>
    </w:p>
    <w:p>
      <w:r>
        <w:t xml:space="preserve">6. Assim, manteve-se hígida a certeza e a liquidez, de modo que não se observou nenhuma mácula na constituição ou cobrança dos títulos.</w:t>
      </w:r>
    </w:p>
    <w:p>
      <w:r>
        <w:t xml:space="preserve">7. Ao enfrentar a matéria da compensação/abatimento de valores, o voto embargado destacou que não há como prosperar, uma vez que tal documento comprova o histórico de adimplemento de débitos outros, não englobando o débito cobrado na presente demanda, sendo inservível para o fim colimado.</w:t>
      </w:r>
    </w:p>
    <w:p>
      <w:r>
        <w:t xml:space="preserve">8. Por fim, no que tange à alegação de contradição na aplicação da prescrição trienal, não assiste razão aos embargantes, uma vez que o acórdão embargado decidiu que não se trata de Cédula de Crédito Bancário (CCB) mas sim de contrato tipicamente bancário, ou seja, dívida líquida constante de instrumento particular, sendo, portanto, o prazo prescricional quinquenal, na esteira do Código Civil e em conformidade com a jurisprudência do C. STJ.</w:t>
      </w:r>
    </w:p>
    <w:p>
      <w:r>
        <w:t xml:space="preserve">9. Verifica-se, na hipótese, que o acórdão embargado decidiu expressamente toda a matéria envolvida.</w:t>
      </w:r>
    </w:p>
    <w:p>
      <w:r>
        <w:t xml:space="preserve">10. Como se vê, não se deixou de ofertar as respostas que parte embargante diz faltarem, mas, e tão somente, se elegeu raciocínio jurídico que desborda da sua tese, de forma que não se pode falar em violação ao artigo 1.022 do CPC.</w:t>
      </w:r>
    </w:p>
    <w:p>
      <w:r>
        <w:t xml:space="preserve">11. De igual forma, não há contradição no corpo da decisão, sendo certo que o que há é inconformismo com o entendimento firmado.</w:t>
      </w:r>
    </w:p>
    <w:p>
      <w:r>
        <w:t xml:space="preserve">12. Na verdade, a parte embargante almeja apontar um suposto erro no julgar, ou seja, o chamado error in judicando que, segundo entendimento dominante e diante da própria natureza meramente integrativa do recurso, não é passível de impugnação na estreita via dos embargos de declaração.</w:t>
      </w:r>
    </w:p>
    <w:p>
      <w:r>
        <w:t xml:space="preserve">13. Em casos como este, esta Corte Federal já decidiu que "o que pretende a embargante é o acolhimento da interpretação que reputa correta a determinados dispositivos legais, mas tal configura pretensão a rejulgamento". (TRF5, 0811540-69.2019.4.05.0000, Pleno, Rel. Des. Fed. Paulo Roberto de Oliveira Lima, Publ.: 30/03/2022).</w:t>
      </w:r>
    </w:p>
    <w:p>
      <w:r>
        <w:t xml:space="preserve">14. O objetivo de prequestionamento não é hipótese autônoma para utilização dos embargos de declaração, sendo indispensável a demonstração da existência de obscuridade, contradição, omissão ou erro material, como requisitos específicos dessa espécie recursal integradora.</w:t>
      </w:r>
    </w:p>
    <w:p>
      <w:r>
        <w:t xml:space="preserve">15. Assim, não se apresentaram, no caso, as hipóteses legais autorizadoras para interposição de embargos declaratórios, descabendo a utilização de dito recurso para modificação do acórdão impugnado. </w:t>
      </w:r>
    </w:p>
    <w:p>
      <w:r>
        <w:t xml:space="preserve">IV — DISPOSITIVO </w:t>
      </w:r>
    </w:p>
    <w:p>
      <w:r>
        <w:t xml:space="preserve">16. Embargos de declaração rejeitados. </w:t>
      </w:r>
    </w:p>
    <w:p>
      <w:r>
        <w:t xml:space="preserve">Dispositivos relevantes citados: artigos 489, § 1º, inciso IV e 1.022, todos do Código de Processo Civil; artigo 206, § 3º, inciso VIII e § 5º, inciso I, ambos do Código Civil; Súmula nº 247 do STJ e Código de Defesa do Consumidor. </w:t>
      </w:r>
    </w:p>
    <w:p>
      <w:r>
        <w:t xml:space="preserve">Jurisprudências relevantes citadas: TRF5, 0811540-69.2019.4.05.0000, Rel. Des. Fed. Paulo Roberto de Oliveira Lima, Pleno, Publ.: 30.03.2022. </w:t>
      </w:r>
    </w:p>
    <w:p>
      <w:r>
        <w:t xml:space="preserve">GabCB14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2026-06-05T10:45:43.816Z</dcterms:created>
  <dcterms:modified xsi:type="dcterms:W3CDTF">2026-06-05T10:45:43.816Z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