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CRIMINAL</w:t>
      </w:r>
    </w:p>
    <w:p>
      <w:pPr>
        <w:pStyle w:val="Title"/>
      </w:pPr>
      <w:r>
        <w:rPr>
          <w:b/>
          <w:bCs/>
        </w:rPr>
        <w:t xml:space="preserve">APELAÇÃO</w:t>
      </w:r>
    </w:p>
    <w:p>
      <w:r>
        <w:rPr>
          <w:i/>
          <w:iCs/>
          <w:color w:val="666666"/>
        </w:rPr>
        <w:t xml:space="preserve">REVISÃO CRIMINAL</w:t>
      </w:r>
    </w:p>
    <w:p/>
    <w:p>
      <w:r>
        <w:rPr>
          <w:b/>
          <w:bCs/>
        </w:rPr>
        <w:t xml:space="preserve">Recurso: </w:t>
      </w:r>
      <w:r>
        <w:t xml:space="preserve">08002791920224058402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Desembargadora Federal Joana Carolina Lins Pereira</w:t>
      </w:r>
    </w:p>
    <w:p>
      <w:r>
        <w:rPr>
          <w:b/>
          <w:bCs/>
        </w:rPr>
        <w:t xml:space="preserve">Julgado em: </w:t>
      </w:r>
      <w:r>
        <w:t xml:space="preserve">10/03/2024</w:t>
      </w:r>
    </w:p>
    <w:p/>
    <w:p>
      <w:r>
        <w:t xml:space="preserve">PROCESSUAL PENAL. APELAÇÃO. ASSOCIAÇÃO CRIMINOSA. MATERIALIDADE E AUTORIA DELITIVA COMPROVADAS.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PROCESSUAL PENAL. APELAÇÃO. ASSOCIAÇÃO CRIMINOSA. MATERIALIDADE E AUTORIA DELITIVA COMPROVADAS. CONDENAÇÃO MANTIDA. DOSIMETRIA. REVISÃO DO CÁLCULO DA PENA-BASE.</w:t>
      </w:r>
    </w:p>
    <w:p>
      <w:r>
        <w:t xml:space="preserve">1. O apelante foi condenado pela prática do crime descrito no art. 171, §3º do Código Penal, na forma tentada, por ter utilizado documentação falsa perante o INSS para fins de obtenção do benefício de prestação continuada NB 88/702.754.574-9, registrado em nome de pessoa denominada "Pedro Conceição", na agência de Previdência Social de Caicó/RN, bem como pela prática do crime do art. 288 do CP, por integrar associação criminosa que visa à prática de fraudes de natureza previdenciária, juntamente com os demais réus, que não recorreram.</w:t>
      </w:r>
    </w:p>
    <w:p>
      <w:r>
        <w:t xml:space="preserve">2.</w:t>
      </w:r>
    </w:p>
    <w:p>
      <w:r>
        <w:t xml:space="preserve">Cinge-se a presente controvérsia em analisar se restou comprovada a prática da conduta descrita no crime do art. 288 do Código Penal, bem como se faz jus o apelante à fixação da pena-base no mínimo legal.</w:t>
      </w:r>
    </w:p>
    <w:p>
      <w:r>
        <w:t xml:space="preserve">3. Considerando que não há controvérsia quanto ao delito de estelionato previdenciário, a análise do presente recurso se restringirá à prática do crime previsto no art. 288 do CP (associação criminosa).</w:t>
      </w:r>
    </w:p>
    <w:p>
      <w:r>
        <w:t xml:space="preserve">4. A caracterização do crime de associação criminosa exige associação estável e permanente de três ou mais pessoas com a finalidade específica de praticar crimes.</w:t>
      </w:r>
    </w:p>
    <w:p>
      <w:r>
        <w:t xml:space="preserve">5. No presente caso, resta comprovada a prática do delito tipificado no art. 288 do Código Penal. É inconteste que o apelante se utilizou de certidão de nascimento e RG falsos, em nome de "Pedro Conceição", que nunca existiu, para requerer benefício de prestação continuada, razão pela qual foi condenado pelo delito do art. 171, §3º, do Código Penal, na forma tentada.</w:t>
      </w:r>
    </w:p>
    <w:p>
      <w:r>
        <w:t xml:space="preserve">6.</w:t>
      </w:r>
    </w:p>
    <w:p>
      <w:r>
        <w:t xml:space="preserve">Conforme auto de prisão em flagrante, a prática da conduta delitiva indica a prática do delito de associação criminosa, tendo em vista que, no dia 21/09/2017, o veículo Golf, cor prata, Placa NNU 6979, foi abordado por policiais rodoviários federais, tendo sido encontrado com os denunciados A. R. M, ora apelante, M. D. D. V e M. M. S, bem como pelo filho desta, S. M.S, documentos de identificação falsos, dinheiro em espécie, cartão do INSS e de estabelecimento bancário, comprovante de documentos, certidões de nascimento, dentre outros, que seriam utilizados para saque de benefícios em agências bancárias na cidade de Recife.</w:t>
      </w:r>
    </w:p>
    <w:p>
      <w:r>
        <w:t xml:space="preserve">7. Tal fato foi confirmado pelo apelante, em seu depoimento em juízo, o qual foi transcrito na sentença.</w:t>
      </w:r>
    </w:p>
    <w:p>
      <w:r>
        <w:t xml:space="preserve">8. A prática do crime de estelionato é conduta reiterada, tendo se perpetuado inclusive após a prática do fato objeto do presente feito, como se observa do interrogatório do apelante perante a autoridade policial, após flagrante ocorrido em 03.10.2017, em Cabedelo/PB, onde também restou comprovada a participação no esquema fraudulento, com prévio e mútuo consentimento dos réus.</w:t>
      </w:r>
    </w:p>
    <w:p>
      <w:r>
        <w:t xml:space="preserve">9.</w:t>
      </w:r>
    </w:p>
    <w:p>
      <w:r>
        <w:t xml:space="preserve">Conforme relatório do IPL nº 2020.0040331 (número anterior 306/2018-SR/PF/RN), foi constatada a existência de quadrilha de fraudadores que teria emitido certidão de nascimento falsa em nome de J. F. L. S, visando a fraudar benefícios previdenciários. Na mesma agência dos Correios em que foi gerado o CPF desta (Pio XII/MA), e na mesma data (24.02.2017), também foram gerados mais nove CPF's, dentre eles o de "P. C", todos com a data de nascimento na primeira quinzena de outubro do ano de 1946 e com o mesmo endereço, qual seja, Sítio Timbaúba, Zona Rural, Pio XII/MA, os quais foram amplamente utilizados para os fins pretendidos.</w:t>
      </w:r>
    </w:p>
    <w:p>
      <w:r>
        <w:t xml:space="preserve">10. O laudo papiloscópico acostado aos autos, demonstra que as digitais e foto do apelante foram identificadas no documento de identidade confeccionado em nome de P. C, e as das corrés M. D. D. V e M. M. S, nos documentos de identidade falsos em nome de J. F. L e A. R. S, respectivamente.</w:t>
      </w:r>
    </w:p>
    <w:p>
      <w:r>
        <w:t xml:space="preserve">11. Posteriormente, em 06.02.2019 foi realizada prisão em flagrante do apelante, juntamente com as corrés M. D.</w:t>
      </w:r>
    </w:p>
    <w:p>
      <w:r>
        <w:t xml:space="preserve">V — R e M. M. S, além de R. M. M. S, na cidade de Goiânia/GO durante tentativa de realização de saque fraudulento de benefício previdenciário, sendo encontrada na ocasião na posse de um deles cartão da previdência social em nome de terceiro.</w:t>
      </w:r>
    </w:p>
    <w:p>
      <w:r>
        <w:t xml:space="preserve">12. Como bem ressaltado pelo MPF, todos os réus residem no Maranhão, fragilizando a tese de que não possuíam conhecimento mútuo e prévio. As prisões em flagrante realizadas em Estados diversos denotam que os réus atuavam em conjunto, e também com terceiros, de forma consciente, reiterada e permanente, para a prática de fraudes em benefícios, pelo que resta comprovada a materialidade delitiva.</w:t>
      </w:r>
    </w:p>
    <w:p>
      <w:r>
        <w:t xml:space="preserve">13. Dessa forma, não há que se falar em absolvição do apelante quanto ao crime do art. 288 do Código Penal.</w:t>
      </w:r>
    </w:p>
    <w:p>
      <w:r>
        <w:t xml:space="preserve">14. No que tange ao pedido subsidiário de redução da pena-base ao mínimo legal, em virtude dos bons antecedentes e primariedade, bem como das causas de diminuição de pena, não assiste razão ao apelante.</w:t>
      </w:r>
    </w:p>
    <w:p>
      <w:r>
        <w:t xml:space="preserve">15. Depreende-se do item 3.2.1, alínea b, do dispositivo da sentença, que os bons antecedentes e a primariedade foram levados em consideração pelo juízo, tendo sido valorado negativamente tão somente o deslocamento do apelante de sua cidade de origem para praticar crimes em diversos estados e as consequências do crime, pois a ação do grupo causou prejuízo aos cofres públicos, em especial aos destinados à manutenção de idosos em situação de miserabilidade, implicando aumento de 1/8 para cada circunstância negativa, o que está de acordo com o entendimento do STJ.</w:t>
      </w:r>
    </w:p>
    <w:p>
      <w:r>
        <w:t xml:space="preserve">16. Entretanto, verifica-se que, aplicando-se o aumento de 2/8 entre o intervalo mínimo e máximo da pena cominada no preceito secundário, referente às circunstâncias negativas acima, a pena base corresponde a 1 (um) ano e 6 (seis) meses de reclusão, e não 1 (um) ano e 8 (oito) meses, como constou da sentença.</w:t>
      </w:r>
    </w:p>
    <w:p>
      <w:r>
        <w:t xml:space="preserve">17. Consequentemente, com a aplicação da atenuante da confissão espontânea (art. 65, III, d, do CP), a pena deve ser reduzida em 1/6, estabelecendo-se a pena em 1 (um) ano e 3 (três) meses de reclusão.</w:t>
      </w:r>
    </w:p>
    <w:p>
      <w:r>
        <w:t xml:space="preserve">18. Considerando a inexistência de causas de aumento e de diminuição, a pena concreta é de 1 (um) ano e 3 (três) meses de reclusão.</w:t>
      </w:r>
    </w:p>
    <w:p>
      <w:r>
        <w:t xml:space="preserve">19. Diante da existência de concurso material de delitos (art. 69 do CP), unificando-se as penas privativas de liberdade, a pena final obtida é de 2 (anos) e 2 (dois) meses de reclusão. A pena de multa é de 33 (trinta e três) dias-multa.</w:t>
      </w:r>
    </w:p>
    <w:p>
      <w:r>
        <w:t xml:space="preserve">20. Restam mantidos o regime prisional inicial e o valor do dia-multa determinados na sentença, bem como a substituição da pena privativa de liberdade por sanções restritivas de direitos.</w:t>
      </w:r>
    </w:p>
    <w:p>
      <w:r>
        <w:t xml:space="preserve">21. Apelação parcialmente provida, apenas para recalcular a pena do réu/apelante.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2026-06-05T10:32:33.413Z</dcterms:created>
  <dcterms:modified xsi:type="dcterms:W3CDTF">2026-06-05T10:32:33.413Z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