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TERRENOS DE MARINHA</w:t>
      </w:r>
    </w:p>
    <w:p>
      <w:r>
        <w:rPr>
          <w:i/>
          <w:iCs/>
          <w:color w:val="666666"/>
        </w:rPr>
        <w:t xml:space="preserve">INDENIZAÇÃO POR DESOCUPAÇÃO</w:t>
      </w:r>
    </w:p>
    <w:p/>
    <w:p>
      <w:r>
        <w:rPr>
          <w:b/>
          <w:bCs/>
        </w:rPr>
        <w:t xml:space="preserve">Recurso: </w:t>
      </w:r>
      <w:r>
        <w:t xml:space="preserve">08002139620234058307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Frederico Wildson Da Silva Dantas</w:t>
      </w:r>
    </w:p>
    <w:p>
      <w:r>
        <w:rPr>
          <w:b/>
          <w:bCs/>
        </w:rPr>
        <w:t xml:space="preserve">Julgado em: </w:t>
      </w:r>
      <w:r>
        <w:t xml:space="preserve">30/06/2025</w:t>
      </w:r>
    </w:p>
    <w:p/>
    <w:p>
      <w:r>
        <w:t xml:space="preserve">ADMINISTRATIVO. OCUPAÇÃO IRREGULAR DE IMÓVEL PÚBLICO. RETORNO DOS AUTOS DO STJ. DETERMINAÇÃO DE FIXAÇÃO DE INDENIZAÇÃO À UNIÃO.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Ação possessória cumulada com indenização contra ocupante irregular de terreno de marinha. O STJ determinou o retorno dos autos para fixação de indenização pela ocupação ilícita, independentemente de prova de prejuízo, a ser calculada em 10% ao ano sobre o valor do domínio pleno da área, contado da notificação administrativa até a desocupação. Os embargos foram parcialmente acolhidos para condenar ao pagamento com apuração do valor em liquidação.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ADMINISTRATIVO. OCUPAÇÃO IRREGULAR DE IMÓVEL PÚBLICO. RETORNO DOS AUTOS DO STJ. DETERMINAÇÃO DE FIXAÇÃO DE INDENIZAÇÃO À UNIÃO. ART. 10, PARÁGRAFO ÚNICO, DA LEI 9.636/1998. EMBARGOS DE DECLARAÇÃO PARCIALMENTE ACOLHIDOS PARA ADEQUAÇÃO À ORDEM DO STJ.</w:t>
      </w:r>
    </w:p>
    <w:p>
      <w:r>
        <w:t xml:space="preserve">1. Apelação interposta contra sentença proferida pelo Juízo da 26ª Vara Federal da Seção Judiciária de Pernambuco, nos autos de ação possessória cumulada com indenização por perdas e danos ajuizada pela União Federal. Na origem, reconheceu-se a ilegitimidade passiva do Município de Tamandaré/PE e julgou-se parcialmente procedente o pedido para reintegrar a área de terreno de marinha ocupada irregularmente por M. M. da S., com a demolição do quiosque de praia nela edificado, mas sem condenação em indenização pela ocupação.</w:t>
      </w:r>
    </w:p>
    <w:p>
      <w:r>
        <w:t xml:space="preserve">2. Após o acórdão que manteve a sentença em todos os seus termos, a União Federal embargou de declaração, sustentando: (i) responsabilidade do Município por omissão na fiscalização urbanística e ambiental e (ii) necessidade de indenização pela mera ocupação irregular, conforme o art. 10, parágrafo único, da Lei nº 9.636/1998.</w:t>
      </w:r>
    </w:p>
    <w:p>
      <w:r>
        <w:t xml:space="preserve">3. Esta Turma rejeitou os embargos de declaração opostos pela União, que recorreu ao Superior Tribunal de Justiça. O STJ deu provimento ao Recurso Especial nº 2207109 - PE, determinando o retorno dos autos para fixação do valor indenizatório de acordo com as circunstâncias do caso concreto, considerando devida a indenização pela ocupação ilícita, independentemente de boa-fé ou prova de prejuízo.</w:t>
      </w:r>
    </w:p>
    <w:p>
      <w:r>
        <w:t xml:space="preserve">4. O entendimento do STJ afirma que a indenização é devida pela mera ocupação irregular, bastando a comprovação da posse ou ocupação ilícita, sem necessidade de demonstrar dano específico ou má-fé.</w:t>
      </w:r>
    </w:p>
    <w:p>
      <w:r>
        <w:t xml:space="preserve">5. A jurisprudência desta Sétima Turma do TRF5 estabelece que o termo inicial da indenização deve coincidir com a data de notificação administrativa expedida pela Superintendência do Patrimônio da União. Precedente: PROCESSO 08106416420184058000, APELAÇÃO CÍVEL, DESEMBARGADOR FEDERAL FREDERICO WILDSON DA SILVA DANTAS, 7ª TURMA, JULGAMENTO: 7/3/2023.</w:t>
      </w:r>
    </w:p>
    <w:p>
      <w:r>
        <w:t xml:space="preserve">6. No caso em exame, comprovou-se a notificação em 15/10/2020, devendo este ser o marco inicial, sendo o termo final a data da efetiva desocupação/demolição da construção. O percentual indenizatório é de 10% ao ano ou fração do valor atualizado do domínio pleno da área ocupada, conforme previsto no art. 10, parágrafo único, da Lei nº 9.636/1998, devendo o montante ser apurado em liquidação.</w:t>
      </w:r>
    </w:p>
    <w:p>
      <w:r>
        <w:t xml:space="preserve">7. Embargos de declaração parcialmente acolhidos para, em cumprimento à decisão do STJ no Recurso Especial nº 2207109 - PE (2025/0119853-9), condenar a ré ao pagamento de indenização à União, devendo o montante ser apurado em liquidação.</w:t>
      </w:r>
    </w:p>
    <w:p>
      <w:r>
        <w:t xml:space="preserve">.mkr.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2026-06-05T09:08:08.224Z</dcterms:created>
  <dcterms:modified xsi:type="dcterms:W3CDTF">2026-06-05T09:08:08.224Z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