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REINTEGRAÇÃO DE POSSE</w:t>
      </w:r>
    </w:p>
    <w:p>
      <w:r>
        <w:rPr>
          <w:i/>
          <w:iCs/>
          <w:color w:val="666666"/>
        </w:rPr>
        <w:t xml:space="preserve">POSSE ANTERIOR</w:t>
      </w:r>
    </w:p>
    <w:p/>
    <w:p>
      <w:r>
        <w:rPr>
          <w:b/>
          <w:bCs/>
        </w:rPr>
        <w:t xml:space="preserve">Recurso: </w:t>
      </w:r>
      <w:r>
        <w:t xml:space="preserve">08005722420154058308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Manoel De Oliveira Erhardt</w:t>
      </w:r>
    </w:p>
    <w:p>
      <w:r>
        <w:rPr>
          <w:b/>
          <w:bCs/>
        </w:rPr>
        <w:t xml:space="preserve">Julgado em: </w:t>
      </w:r>
      <w:r>
        <w:t xml:space="preserve">29/06/2016</w:t>
      </w:r>
    </w:p>
    <w:p/>
    <w:p>
      <w:r>
        <w:t xml:space="preserve">ADMINISTRATIVO. APELAÇÃO CÍVEL. REINTEGRAÇÃO DE POSSE. NÃO COMPROVAÇÃO DA CONDIÇÃO DE POSSUIDOR.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cível em ação reintegratória. Autora alegou esbulho de imóvel obtido por desapropriação, mas o tribunal confirmou a sentença que reconheceu nunca ter sido possuidora do bem, apenas proprietária — faltou-lhe a posse necessária para a reintegração. Apelação improvida, com majoração dos honorários.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ADMINISTRATIVO. APELAÇÃO CÍVEL. REINTEGRAÇÃO DE POSSE. NÃO COMPROVAÇÃO DA CONDIÇÃO DE POSSUIDOR. PRETENSÃO REIVINDICATÓRIA. DESCABIMENTO. FUNGIBILIDADE. INAPLICABILIDADE. APELAÇÃO IMPROVIDA.</w:t>
      </w:r>
    </w:p>
    <w:p>
      <w:r>
        <w:t xml:space="preserve">1. A sentença apelada julgou improcedente o pedido formulado visando à reintegração da autora em imóvel de sua propriedade e que alega ser possuidora.</w:t>
      </w:r>
    </w:p>
    <w:p>
      <w:r>
        <w:t xml:space="preserve">2. No caso dos autos, adotam-se os seguintes termos da sentença como parte da fundamentação deste julgamento, considerando a pertinência com o recurso em análise: </w:t>
      </w:r>
    </w:p>
    <w:p>
      <w:r>
        <w:t xml:space="preserve">3. "Cuida-se de ação reintegratória na qual alega a autora ter sido esbulhado do imóvel denominado "Sítio Santa Tereza".</w:t>
      </w:r>
    </w:p>
    <w:p>
      <w:r>
        <w:t xml:space="preserve">4 "Como é cediço, o possuidor tem direito a ser mantido na posse, em caso de turbação, e reintegrado, em caso de esbulho (art. 560 do NCPC). </w:t>
      </w:r>
    </w:p>
    <w:p>
      <w:r>
        <w:t xml:space="preserve">5. "Na espécie, ressai que a autora nunca foi possuidora do imóvel em questão".</w:t>
      </w:r>
    </w:p>
    <w:p>
      <w:r>
        <w:t xml:space="preserve">6. "Com efeito, parte do imóvel do réu foi desapropriado para a implantação do Projeto Pontal. Ele permaneceu proprietário/possuidor do restante, que não fora desapropriado".</w:t>
      </w:r>
    </w:p>
    <w:p>
      <w:r>
        <w:t xml:space="preserve">7. "Os prepostos da autora, ao demarcarem a área, obedeceram à cerca constante do imóvel que permaneceu na propriedade e posse do réu".</w:t>
      </w:r>
    </w:p>
    <w:p>
      <w:r>
        <w:t xml:space="preserve">8. "Destarte, tem-se que em momento algum a autora foi possuidora da área em questão". </w:t>
      </w:r>
    </w:p>
    <w:p>
      <w:r>
        <w:t xml:space="preserve">9. "Adquiriu-a por desapropriação, como por ela mesmo destacado, contudo, sem dela ter se apossado".</w:t>
      </w:r>
    </w:p>
    <w:p>
      <w:r>
        <w:t xml:space="preserve">10. Vale ressaltar que, a documentação acostada pela CODEVASF após a sentença continuou a se referir à propriedade do imóvel em questão. </w:t>
      </w:r>
    </w:p>
    <w:p>
      <w:r>
        <w:t xml:space="preserve">11 . No tocante aos honorários advocatícios, tal verba deverá ser majorada para R$ 2.000,00 (dois mil) reais, a teor do art. 85, § 11 do NCPC.</w:t>
      </w:r>
    </w:p>
    <w:p>
      <w:r>
        <w:t xml:space="preserve">12. Apelação improvida. </w:t>
      </w:r>
    </w:p>
    <w:p>
      <w:r>
        <w:t xml:space="preserve">ats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2026-06-05T12:09:39.981Z</dcterms:created>
  <dcterms:modified xsi:type="dcterms:W3CDTF">2026-06-05T12:09:39.981Z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