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COMPENSAÇÃO</w:t>
      </w:r>
    </w:p>
    <w:p>
      <w:r>
        <w:rPr>
          <w:i/>
          <w:iCs/>
          <w:color w:val="666666"/>
        </w:rPr>
        <w:t xml:space="preserve">DEPÓSITO BANCÁRIO A PRAZO FIXO</w:t>
      </w:r>
    </w:p>
    <w:p/>
    <w:p>
      <w:r>
        <w:rPr>
          <w:b/>
          <w:bCs/>
        </w:rPr>
        <w:t xml:space="preserve">Recurso: </w:t>
      </w:r>
      <w:r>
        <w:t xml:space="preserve">08069189120194058100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Vladimir Souza Carvalho</w:t>
      </w:r>
    </w:p>
    <w:p>
      <w:r>
        <w:rPr>
          <w:b/>
          <w:bCs/>
        </w:rPr>
        <w:t xml:space="preserve">Julgado em: </w:t>
      </w:r>
      <w:r>
        <w:t xml:space="preserve">11/11/2024</w:t>
      </w:r>
    </w:p>
    <w:p/>
    <w:p>
      <w:r>
        <w:t xml:space="preserve">Ementa Processual Civil. Remessa necessária. Apelação. Convênio. Empréstimo consignado.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Ementa </w:t>
      </w:r>
    </w:p>
    <w:p>
      <w:r>
        <w:t xml:space="preserve">Processual Civil. Remessa necessária. Apelação. Convênio. Empréstimo consignado. Descumprimento. Desconto efetuado nos contracheques. Ausência de repasse à Caixa Econômica Federal [CEF]. Inadimplemento. Sentença mantida.</w:t>
      </w:r>
    </w:p>
    <w:p>
      <w:r>
        <w:t xml:space="preserve">1. Remessa necessária e Apelação interposta pelo Município de Acarapé [Ceará] ante sentença que julgou procedente o pedido da Caixa Econômica Federal [CEF] para condenar o referido município na obrigação de repassar para a instituição financeira os valores retidos dos salários dos seus servidores relacionados aos empréstimos sob consignação firmados mediante convênio celebrado entre si e a demandante. Fixou prazo para cumprimento em 20 (vinte) dias, bem como, multa para o caso de descumprimento da determinação judicial, no valor equivalente ao percentual de 5% (cinco por cento) sobre o valor que deixar de ser repassado relativamente a cada competência. Ademais, condenou o Município ao pagamento de honorários advocatícios, os quais fixou em 10% até o montante de 200 salários mínimos e 8% sobre o restante da condenação, nos termos do art. 85, §3º, incs. I e II c/c §5º, do Código de Processo Civil.</w:t>
      </w:r>
    </w:p>
    <w:p>
      <w:r>
        <w:t xml:space="preserve">2. A parte apelante alega, em síntese: a) inadequação da via processual, porquanto a presente ação não se trata de obrigação de fazer, mas sim de obrigação de dar quantia certa; b) a ausência de demonstração do débito pelo autor; c) caso o pagamento da quantia em discussão seja devido, o respectivo valor deverá ser requisitado através de precatório, nos termos do art. 100 da Constituição; d) a impossibilidade de bloqueio da verba proveniente de impostos, em face da aplicação do princípio da não afetação, conforme o art. 167, inc. IV, da Constituição; e) deve ser aplicado como índice de correção o IPCA-E e os juros da caderneta de poupança, na forma como decidido pelo Supremo Tribunal Federal no RE 870.947, que foi submetido ao regime de repercussão geral (Tema 810).</w:t>
      </w:r>
    </w:p>
    <w:p>
      <w:r>
        <w:t xml:space="preserve">3. No caso concreto, o Município de Acarapé firmou com a Caixa Econômica Federal [CEF] convênio visando à concessão de empréstimos aos servidores do órgão, com pagamento mediante consignação em pagamento. A presente controvérsia cinge-se à ausência de repasse desses valores, por parte do município réu.</w:t>
      </w:r>
    </w:p>
    <w:p>
      <w:r>
        <w:t xml:space="preserve">4. A instituição financeira autora alega que o ente público, apesar de reter regularmente os valores das prestações dos empréstimos nos contracheques dos seus servidores, não a repassou o montante referente aos meses de maio a dezembro de 2016 e abril a maio do ano de 2017, descumprindo o que fora pactuado, totalizando o débito o montante de R$ 1.052.979,84.</w:t>
      </w:r>
    </w:p>
    <w:p>
      <w:r>
        <w:t xml:space="preserve">5. Preliminarmente, como bem fundamentado pela magistrada a quo, não merece prosperar a tese recursal de inadequação da via processual, sob a fundamentação de a presente ação não se tratar de obrigação de fazer, mas sim de obrigação de dar quantia certa. Na presente demanda, não se discute pagamento de dívida entre o Município apelante e a CEF, mas tão somente o repasse dos descontos realizados, a título de empréstimo consignado, no salário de seus servidores, ou seja, valores dos servidores retidos pelo Município para repasse à CEF. Ou seja, trata-se de analisar se o Município descumpriu obrigação de fazer referente à averbação, desconto e repasse das parcelas dos vencimentos dos seus servidores à CEF.</w:t>
      </w:r>
    </w:p>
    <w:p>
      <w:r>
        <w:t xml:space="preserve">6. Em ato contínuo, o contrato é um negócio jurídico que tem a finalidade da criação, modificação ou extinção de deveres com conteúdo, primordialmente, patrimonial. A partir dele derivam obrigações aos contratantes, que, caso descumpridas, fazem surgir a responsabilidade civil ao devedor que lhe deu causa, como dispõe o art. 389, do Código Civil.</w:t>
      </w:r>
    </w:p>
    <w:p>
      <w:r>
        <w:t xml:space="preserve">7. Dentre as obrigações do convenente constantes na cláusula segunda do contrato, havia a de (...) e) repassar à CAIXA, até o 5º (quinto) dias útil contado da data do crédito do salário dos servidores, o total dos valores averbados e quando ultrapassar esse prazo, repassar com os encargos devidos; (...).</w:t>
      </w:r>
    </w:p>
    <w:p>
      <w:r>
        <w:t xml:space="preserve">8. Da análise dos documentos que instruem o feito, quais sejam, o contrato celebrado entre as partes (id.: 4058100.15307139) e demonstrativos da evolução da dívida (id's.: 4058100.15307166; 4058100.15307182; 4058100.15307184), notificações extrajudiciais (id's.: 4058100.15307189; 4058100.15307191; ; 4058100.18670655) e fichas financeiras de servidores com descontos realizados, referentes a empréstimos obtidos junto à CEF (id.: 4058100.15307146; 4058100.15307153), resta suficientemente comprovada o descumprimento da obrigação por parte do Município. Além disso, nada foi apresentado pelo município apelante como prova de repasse dos valores retidos, em qualquer das competências aqui tratadas.</w:t>
      </w:r>
    </w:p>
    <w:p>
      <w:r>
        <w:t xml:space="preserve">9. Ademais, não há a incidência do regime de precatórios, previsto no art. 100, da Constituição, posto que a natureza da obrigação em discussão é diversa. Com efeito, por força do convênio firmado com a CEF, o Município utiliza recursos que pertencem aos seus servidores, não havendo que se falar em qualquer espécie de pagamento por parte do ente municipal.</w:t>
      </w:r>
    </w:p>
    <w:p>
      <w:r>
        <w:t xml:space="preserve">10. Da mesma forma, não prospera a alegação de que há impossibilidade de bloqueio da verba proveniente de impostos, em face da aplicação do princípio da não afetação, conforme o art. 167, inc. IV, da Constituição. As receitais que podem sofrer bloqueio são as que já se encontrem depositados ou venham a ser depositados em nome do Município, ou seja, com a sua transferência do Tesouro Nacional para os cofres da edilidade, elas deixam de ser receitas de impostos, passando a serem consideradas como receitas próprias, não se subsumindo à regra geral de não-afetação.</w:t>
      </w:r>
    </w:p>
    <w:p>
      <w:r>
        <w:t xml:space="preserve">11. Todos esses aspectos demonstram que o Município não realizou o repasse dos valores descontados da remuneração dos servidores municipais, obrigação assumida por força dos termos do convênio assinado com a CEF. Configuração de verdadeira apropriação indébita dos valores recolhidos dos servidores e não repassados para a instituição financeira demandante, além de se constituir inadimplência contratual.</w:t>
      </w:r>
    </w:p>
    <w:p>
      <w:r>
        <w:t xml:space="preserve">12. Assim, há a responsabilidade do Ente Municipal de devolver à instituição financeira autora o montante ilegalmente apropriado, com juros de mora incidentes desde a data do inadimplemento e corrigido monetariamente, cujo valor deverá ser liquidado na fase executiva. Caso contrário, estaria havendo enriquecimento ilícito, o que é vedado no nosso ordenamento jurídico (art. 884, do Código Civil). Diante de tais considerações, não merece reparo a sentença prolatada pelo juízo de origem.</w:t>
      </w:r>
    </w:p>
    <w:p>
      <w:r>
        <w:t xml:space="preserve">13. Remessa necessária e apelação desprovidas. Majoração dos honorários advocatícios fixados em primeiro grau em 10% (dez por cento), a teor do § 11, do art. 85, do Código de Processo Civil.</w:t>
      </w:r>
    </w:p>
    <w:p>
      <w:r>
        <w:t xml:space="preserve">14. Remessa necessária desprovida. </w:t>
      </w:r>
    </w:p>
    <w:p>
      <w:r>
        <w:t xml:space="preserve">\afcrc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2026-06-05T10:48:59.220Z</dcterms:created>
  <dcterms:modified xsi:type="dcterms:W3CDTF">2026-06-05T10:48:59.220Z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