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TÍTULO DE CRÉDITO PRESCRITO</w:t>
      </w:r>
    </w:p>
    <w:p/>
    <w:p>
      <w:r>
        <w:rPr>
          <w:b/>
          <w:bCs/>
        </w:rPr>
        <w:t xml:space="preserve">Recurso: </w:t>
      </w:r>
      <w:r>
        <w:t xml:space="preserve">08057979820194058400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Resende Martins</w:t>
      </w:r>
    </w:p>
    <w:p>
      <w:r>
        <w:rPr>
          <w:b/>
          <w:bCs/>
        </w:rPr>
        <w:t xml:space="preserve">Julgado em: </w:t>
      </w:r>
      <w:r>
        <w:t xml:space="preserve">24/02/2025</w:t>
      </w:r>
    </w:p>
    <w:p/>
    <w:p>
      <w:r>
        <w:t xml:space="preserve">Ementa: DIREITO PROCESSUAL CIVIL E BANCÁRIO. APELAÇÃO CÍVEL. AÇÃO MONITÓRIA. EMBARGOS.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monitória ajuizada pela CEF contra correspondente bancário por inadimplência contratual. A sentença foi mantida, rejeitando-se alegações de cerceamento de defesa, nulidade pericial e falta de pressupostos processuais, confirmando-se a liquidez do título executivo e a validade da capitalização de juros conforme entendimento pacificado pelo STJ.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Ementa: DIREITO PROCESSUAL CIVIL E BANCÁRIO. APELAÇÃO CÍVEL. AÇÃO MONITÓRIA. EMBARGOS. CONTRATO DE PRESTAÇÃO DE SERVIÇOS PARA CORRESPONDENTE BANCÁRIO. INADIMPLÊNCIA. CERCEAMENTO DE DEFESA. INEXISTÊNCIA. NULIDADE DA PERÍCIA. NÃO CONFIGURAÇÃO. LIQUIDEZ, CERTEZA E EXIGIBILIDADE DO TÍTULO. PRESENÇA. APLICABILIDADE DO CDC. CAPITALIZAÇÃO DE JUROS. POSSIBILIDADE. RECURSO DESPROVIDO. </w:t>
      </w:r>
    </w:p>
    <w:p>
      <w:r>
        <w:t xml:space="preserve">I — CASO EM EXAME </w:t>
      </w:r>
    </w:p>
    <w:p>
      <w:r>
        <w:t xml:space="preserve">1. Apelação interposta por Fonseca &amp; Messias Ltda. e outros contra sentença que julgou procedente ação monitória ajuizada pela Caixa Econômica Federal (CEF), reconhecendo a inadimplência dos recorrentes em contrato de prestação de serviços para correspondente bancário e condenando-os ao pagamento do débito, além de ter julgado improcedentes os pedidos reconvencionais. Em sede de embargos monitórios, os apelantes questionaram a evolução da dívida e suscitaram irregularidades no procedimento adotado pela CEF. Em reconvenção, pleitearam a reabertura das atividades lotéricas, a declaração de inexistência do débito e indenização por danos morais e materiais. </w:t>
      </w:r>
    </w:p>
    <w:p>
      <w:r>
        <w:t xml:space="preserve">II — QUESTÃO EM DISCUSSÃO </w:t>
      </w:r>
    </w:p>
    <w:p>
      <w:r>
        <w:t xml:space="preserve">2. Há cinco questões em discussão: </w:t>
      </w:r>
    </w:p>
    <w:p>
      <w:r>
        <w:t xml:space="preserve">(i) verificar a ocorrência de cerceamento de defesa em razão da suposta ausência de acesso aos relatórios do Terminal Financeiro Lotérico (TFL); </w:t>
      </w:r>
    </w:p>
    <w:p>
      <w:r>
        <w:t xml:space="preserve">(ii) avaliar a nulidade da perícia sob a alegação de que o perito judicial acessou documentos não anexados aos autos e realizou diligências sem a presença do assistente técnico dos recorrentes; </w:t>
      </w:r>
    </w:p>
    <w:p>
      <w:r>
        <w:t xml:space="preserve">(iii) analisar a alegação de carência da ação por ausência de pressupostos processuais, em razão da não ativação do seguro-garantia previsto contratualmente; </w:t>
      </w:r>
    </w:p>
    <w:p>
      <w:r>
        <w:t xml:space="preserve">(iv) aferir a existência de liquidez, certeza e exigibilidade do título executivo que fundamenta a ação monitória; </w:t>
      </w:r>
    </w:p>
    <w:p>
      <w:r>
        <w:t xml:space="preserve">(v) determinar a aplicabilidade do Código de Defesa do Consumidor (CDC) à relação contratual e a legalidade da capitalização de juros. </w:t>
      </w:r>
    </w:p>
    <w:p>
      <w:r>
        <w:t xml:space="preserve">III — RAZÕES DE DECIDIR </w:t>
      </w:r>
    </w:p>
    <w:p>
      <w:r>
        <w:t xml:space="preserve">3. O cerceamento de defesa não se configura, considerando a ausência de relevância da produção da prova pretendida para afastar conclusão central da sentença recorrida. A decisão final mencionada foi proferida com base em amplo conjunto probatório, incluindo audiência de saneamento, depoimentos testemunhais, perícia e laudos complementares após manifestação das partes, tendo sido garantido o contraditório e a ampla defesa. Os fundamentos estabelecidos com esteio nas provas (especialmente a pericial) não foram rebatidos especificadamente no recurso.</w:t>
      </w:r>
    </w:p>
    <w:p>
      <w:r>
        <w:t xml:space="preserve">4. A alegação de nulidade pericial não se sustenta, pois a parcialidade na atuação do auxiliar da justiça e a violação ao art. 466, §2º, do CPC demandam prova concreta, sendo necessário demonstrar prejuízo processual relevante, o que não ocorreu.</w:t>
      </w:r>
    </w:p>
    <w:p>
      <w:r>
        <w:t xml:space="preserve">5. A ausência de acionamento do seguro-garantia não constitui pressuposto processual para o ajuizamento da ação monitória, não havendo previsão legal que condicione o acesso ao Judiciário a essa medida, conforme o princípio da inafastabilidade da jurisdição (art. 5º, XXXV, da CF/88).</w:t>
      </w:r>
    </w:p>
    <w:p>
      <w:r>
        <w:t xml:space="preserve">6. O título executivo monitório possui liquidez, certeza e exigibilidade, pois a CEF instruiu a petição inicial com contrato, demonstrativos de débito e evolução da dívida, atendendo aos requisitos do art. 700, § 2º, do CPC.</w:t>
      </w:r>
    </w:p>
    <w:p>
      <w:r>
        <w:t xml:space="preserve">7. O Código de Defesa do Consumidor não se aplica ao caso, pois a relação entre a CEF e a casa lotérica não configura consumo final, sendo regida pela legislação civil e administrativa.</w:t>
      </w:r>
    </w:p>
    <w:p>
      <w:r>
        <w:t xml:space="preserve">8. A capitalização de juros é válida nos contratos bancários celebrados após a edição da MP nº 2.170-36/2001, desde que pactuada expressamente, conforme entendimento consolidado pelo STJ (Súmula 539). </w:t>
      </w:r>
    </w:p>
    <w:p>
      <w:r>
        <w:t xml:space="preserve">IV — DISPOSITIVO E TESE </w:t>
      </w:r>
    </w:p>
    <w:p>
      <w:r>
        <w:t xml:space="preserve">9. Recurso desprovido. </w:t>
      </w:r>
    </w:p>
    <w:p>
      <w:r>
        <w:t xml:space="preserve">Tese de julgamento: </w:t>
      </w:r>
    </w:p>
    <w:p>
      <w:r>
        <w:t xml:space="preserve">1. O indeferimento de produção de provas não configura cerceamento de defesa quando os elementos disponíveis nos autos são suficientes para o julgamento da causa.</w:t>
      </w:r>
    </w:p>
    <w:p>
      <w:r>
        <w:t xml:space="preserve">2. A nulidade pericial exige comprovação concreta de parcialidade ou prejuízo processual relevante.</w:t>
      </w:r>
    </w:p>
    <w:p>
      <w:r>
        <w:t xml:space="preserve">3. A ausência de acionamento de seguro-garantia previsto contratualmente não impede o ajuizamento da ação monitória.</w:t>
      </w:r>
    </w:p>
    <w:p>
      <w:r>
        <w:t xml:space="preserve">4. Para a admissibilidade da ação monitória, basta o preenchimento dos requisitos do art. 700 do CPC.</w:t>
      </w:r>
    </w:p>
    <w:p>
      <w:r>
        <w:t xml:space="preserve">5. O Código de Defesa do Consumidor não se aplica à relação entre instituição financeira e correspondente bancário.</w:t>
      </w:r>
    </w:p>
    <w:p>
      <w:r>
        <w:t xml:space="preserve">6. A capitalização de juros é válida nos contratos bancários celebrados após 31/03/2000, desde que expressamente pactuada. </w:t>
      </w:r>
    </w:p>
    <w:p>
      <w:r>
        <w:t xml:space="preserve">Dispositivos relevantes citados: CF/1988, art. 5º, XXXV e LV; CPC, arts. 370, 371, 466, §2º, 700, §2º, e 784,</w:t>
      </w:r>
    </w:p>
    <w:p>
      <w:r>
        <w:t xml:space="preserve">III — </w:t>
      </w:r>
    </w:p>
    <w:p>
      <w:r>
        <w:t xml:space="preserve">Jurisprudência relevante citada: STJ, REsp 1773141/CE, Rel. Min. Herman Benjamin, DJe 17/12/2018; STJ, Súmulas 297, 539 e 596; TRF-4, AC 5032702-48.2013.404.7100, Rel. Des. Carlos Eduardo Thompson Flores Lenz, D.E. 12/06/2014; TRF-5, AC 0801749-90.2023.4.05.8001, Rel. Des. Leonardo Resende Martins, 6ª Turma, j. 13/08/2024.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2026-06-05T07:34:15.264Z</dcterms:created>
  <dcterms:modified xsi:type="dcterms:W3CDTF">2026-06-05T07:34:15.264Z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