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CRIME CONTINUADO</w:t>
      </w:r>
    </w:p>
    <w:p/>
    <w:p>
      <w:r>
        <w:rPr>
          <w:b/>
          <w:bCs/>
        </w:rPr>
        <w:t xml:space="preserve">Recurso: </w:t>
      </w:r>
      <w:r>
        <w:t xml:space="preserve">1001899-39.2020.4.01.3819/TRF6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Leonardo Araujo De Miranda Fernandes</w:t>
      </w:r>
    </w:p>
    <w:p>
      <w:r>
        <w:rPr>
          <w:b/>
          <w:bCs/>
        </w:rPr>
        <w:t xml:space="preserve">Julgado em: </w:t>
      </w:r>
      <w:r>
        <w:t xml:space="preserve">07/05/2026</w:t>
      </w:r>
    </w:p>
    <w:p/>
    <w:p>
      <w:r>
        <w:t xml:space="preserve">Vistos e relatados estes autos em que são partes as acima indicadas, a Egrégia 2ª Turma - Criminal do Tribunal Regional Federal da 6ª Região decidiu, por unanimidade, conhecer da apelação e dar-lhe parcial provimento, apenas para redimensio…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conhecer da apelação e dar-lhe parcial provimento, apenas para redimensionar a pena, mantendo a condenação de</w:t>
      </w:r>
    </w:p>
    <w:p>
      <w:r>
        <w:t xml:space="preserve">V — C. A. pela prática dos crimes do art. 313-A do Código Penal, por cinco vezes, em continuidade delitiva, em concurso material com os crimes do art. 333 do Código Penal, por cinco vezes, também em continuidade delitiva, e fixando a pena definitiva em 5 anos e 4 meses de reclusão, em regime inicial semiaberto, além de 100 dias-multa, no valor unitário de 1/30 do salário mínimo vigente ao tempo dos fatos. Mantêm-se, no mais, os demais termos da sentença condenatória,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2026-06-05T10:45:06.502Z</dcterms:created>
  <dcterms:modified xsi:type="dcterms:W3CDTF">2026-06-05T10:45:06.502Z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