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1003318-72.2023.4.06.3812/TRF6</w:t>
      </w:r>
    </w:p>
    <w:p>
      <w:r>
        <w:rPr>
          <w:b/>
          <w:bCs/>
        </w:rPr>
        <w:t xml:space="preserve">Tribunal: </w:t>
      </w:r>
      <w:r>
        <w:t xml:space="preserve">TRF6</w:t>
      </w:r>
    </w:p>
    <w:p>
      <w:r>
        <w:rPr>
          <w:b/>
          <w:bCs/>
        </w:rPr>
        <w:t xml:space="preserve">Relator: </w:t>
      </w:r>
      <w:r>
        <w:t xml:space="preserve">Vallisney De Souza Oliveira</w:t>
      </w:r>
    </w:p>
    <w:p>
      <w:r>
        <w:rPr>
          <w:b/>
          <w:bCs/>
        </w:rPr>
        <w:t xml:space="preserve">Julgado em: </w:t>
      </w:r>
      <w:r>
        <w:t xml:space="preserve">19/05/2026</w:t>
      </w:r>
    </w:p>
    <w:p/>
    <w:p>
      <w:r>
        <w:t xml:space="preserve">Trata-se de recurso extraordinário interposto pela União com fundamento no art. 102, III, "a", da Constituição Federal, contra acórdão que confirmou a sentença que julgou procedente o pedido de fornecimento do medicamento à parte autora.</w:t>
      </w:r>
    </w:p>
    <w:p/>
    <w:p>
      <w:pPr>
        <w:pStyle w:val="Heading2"/>
      </w:pPr>
      <w:r>
        <w:rPr>
          <w:b/>
          <w:bCs/>
        </w:rPr>
        <w:t xml:space="preserve">Resumo</w:t>
      </w:r>
    </w:p>
    <w:p>
      <w:r>
        <w:t xml:space="preserve">Recurso Extraordinário da União contra decisão que condenou o SUS a fornecer medicamento não incorporado. O STF estabeleceu teses vinculantes: como regra, medicamentos fora das listas do SUS não podem ser judicialmente exigidos; excepcionalmente, admite-se se comprovados cumulativamente: negativa administrativa, ilegalidade da não incorporação, impossibilidade de substituição, eficácia por alta evidência científica, imprescindibilidade clínica e incapacidade financeira, com obrigatório parecer técnico do NATJUS antes da decisão.</w:t>
      </w:r>
    </w:p>
    <w:p/>
    <w:p>
      <w:pPr>
        <w:pStyle w:val="Heading2"/>
      </w:pPr>
      <w:r>
        <w:rPr>
          <w:b/>
          <w:bCs/>
        </w:rPr>
        <w:t xml:space="preserve">Ementa</w:t>
      </w:r>
    </w:p>
    <w:p>
      <w:r>
        <w:t xml:space="preserve">Trata-se de recurso extraordinário interposto pela União com fundamento no art. 102, III, "a", da Constituição Federal, contra acórdão que confirmou a sentença que julgou procedente o pedido de fornecimento do medicamento à parte autora.</w:t>
      </w:r>
    </w:p>
    <w:p>
      <w:r>
        <w:t xml:space="preserve">O acórdão encontra-se assim ementado: </w:t>
      </w:r>
    </w:p>
    <w:p>
      <w:r>
        <w:t xml:space="preserve">"DIREITO CONSTITUCIONAL E ADMINISTRATIVO. RECURSO DE APELAÇÃO. FORNECIMENTO DE MEDICAMENTOS PELO SUS. DIREITO À SAÚDE. IMPRESCINDIBILIDADE DO FÁRMACO. MEDIDAS DE CONTRACAUTELA. MULTA DIÁRIA. HONORÁRIOS ADVOCATÍCIOS. PARCIAL PROVIMENTO."</w:t>
      </w:r>
    </w:p>
    <w:p>
      <w:r>
        <w:t xml:space="preserve">É o relatório. Decido. </w:t>
      </w:r>
    </w:p>
    <w:p>
      <w:r>
        <w:t xml:space="preserve">O Supremo Tribunal Federal, firmou as seguintes teses vinculantes acerca da questão jurídica envolvida: </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ação:(a) negativa de fornecimento do medicamento na via administrativa, nos termos do item '4' do Tema 1234 da repercussão geral;(b) ilegalidade do ato de não incorporação do medicamento pela Conitec, ausência de pedido de incorporação ou da mora na sua apreciação, tendo em vista os prazos e critérios previstos nos artigos 19-Q e 19-R da Lei nº 8.080/1990 e no Decreto nº 7.646/2011;c) impossibilidade de substituição por outro medicamento constante das listas do SUS e dos protocolos clínicos e diretrizes terapêuticas;(d) comprovação, à luz da medicina baseada em evidências, da eficácia, acurácia, efetividade e segurança do fármaco, necessariamente respaldadas por evidências científicas de alto nível, ou seja, unicamente ensaios clínicos randomizados e revisão sistemática ou meta-análise;(e) imprescindibilidade clínica do tratamento, comprovada mediante laudo médico fundamentado, descrevendo inclusive qual o tratamento já realizado; e(f) incapacidade financeira de arcar com o custeio do medicamento.3.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e(c) no caso de deferimento judicial do fármaco, oficiar aos órgãos competentes para avaliarem a possibili-dade de sua incorporação no âmbito do SUS." </w:t>
      </w:r>
    </w:p>
    <w:p>
      <w:r>
        <w:t xml:space="preserve">Tema STF 1234 - 1)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 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 </w:t>
      </w:r>
    </w:p>
    <w:p>
      <w:r>
        <w:t xml:space="preserve">No caso em análise, vê-se que o acórdão recorrido está em conformidade com a orientação firmada pelo Supremo Tribunal Federal, sendo inútil a análise de questões processuais periféricas, eis que integralmente abrangidas pela questão com repercussão geral. </w:t>
      </w:r>
    </w:p>
    <w:p>
      <w:r>
        <w:t xml:space="preserve">Ante ao exposto, nego seguimento ao recurso extraordinário. </w:t>
      </w:r>
    </w:p>
    <w:p>
      <w:r>
        <w:t xml:space="preserve">Intimem-se. </w:t>
      </w:r>
    </w:p>
    <w:p>
      <w:r>
        <w:t xml:space="preserve">Belo Horizonte - MG, (data e assinatura digitais).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2026-06-05T09:07:57.210Z</dcterms:created>
  <dcterms:modified xsi:type="dcterms:W3CDTF">2026-06-05T09:07:57.210Z</dcterms:modified>
</cp:coreProperties>
</file>

<file path=docProps/custom.xml><?xml version="1.0" encoding="utf-8"?>
<Properties xmlns="http://schemas.openxmlformats.org/officeDocument/2006/custom-properties" xmlns:vt="http://schemas.openxmlformats.org/officeDocument/2006/docPropsVTypes"/>
</file>