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HOMOLOGAÇÃO DE DESISTÊNCIA</w:t>
      </w:r>
    </w:p>
    <w:p/>
    <w:p>
      <w:r>
        <w:rPr>
          <w:b/>
          <w:bCs/>
        </w:rPr>
        <w:t xml:space="preserve">Recurso: </w:t>
      </w:r>
      <w:r>
        <w:t xml:space="preserve">6001662-23.2026.4.06.3801/TRF6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24/05/2026</w:t>
      </w:r>
    </w:p>
    <w:p/>
    <w:p>
      <w:r>
        <w:t xml:space="preserve">Trata-se de pedido de desistência formulado pela parte recorrente (Evento 8). Nos termos do art.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Homologada a desistência do recurso interposto pela parte recorrente, conforme direito à desistência unilateral previsto em lei. As partes são intimadas para ciência, com prazo de quinze dias úteis para pessoa física e trinta para entidade pública, sendo solicitado manifestação expressa de renúncia ao prazo recursal para agilizar o trânsito em julgado.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de desistência formulado pela parte recorrente (Evento 8).</w:t>
      </w:r>
    </w:p>
    <w:p>
      <w:r>
        <w:t xml:space="preserve">Nos termos do art. 998 do Código de Processo Civil, o recorrente poderá desistir do recurso interposto, independentemente da aquiescência da parte contrária.</w:t>
      </w:r>
    </w:p>
    <w:p>
      <w:r>
        <w:t xml:space="preserve">Diante disso, homologo a desistência do recurso interposto, para que produza todos os seus efeitos.</w:t>
      </w:r>
    </w:p>
    <w:p>
      <w:r>
        <w:t xml:space="preserve">Intimem-se as partes para ciência (pessoa física em 15 dias úteis; entidade pública em 30 dias úteis).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 conforme rotina deste sistema eproc (mediante simples "clique").</w:t>
      </w:r>
    </w:p>
    <w:p>
      <w:r>
        <w:t xml:space="preserve">Nada requerido, certifique-se o trânsito em julgado e arquivem-se estes autos.</w:t>
      </w:r>
    </w:p>
    <w:p>
      <w:r>
        <w:t xml:space="preserve">Cumpra-se.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2026-06-05T10:37:40.309Z</dcterms:created>
  <dcterms:modified xsi:type="dcterms:W3CDTF">2026-06-05T10:37:40.309Z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