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EXECUÇÃO FISCAL</w:t>
      </w:r>
    </w:p>
    <w:p>
      <w:r>
        <w:rPr>
          <w:i/>
          <w:iCs/>
          <w:color w:val="666666"/>
        </w:rPr>
        <w:t xml:space="preserve">CITAÇÃO EDITAL</w:t>
      </w:r>
    </w:p>
    <w:p/>
    <w:p>
      <w:r>
        <w:rPr>
          <w:b/>
          <w:bCs/>
        </w:rPr>
        <w:t xml:space="preserve">Recurso: </w:t>
      </w:r>
      <w:r>
        <w:t xml:space="preserve">6007278-33.2026.4.06.0000/TRF6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Genevieve Grossi Orsi</w:t>
      </w:r>
    </w:p>
    <w:p>
      <w:r>
        <w:rPr>
          <w:b/>
          <w:bCs/>
        </w:rPr>
        <w:t xml:space="preserve">Julgado em: </w:t>
      </w:r>
      <w:r>
        <w:t xml:space="preserve">25/05/2026</w:t>
      </w:r>
    </w:p>
    <w:p/>
    <w:p>
      <w:r>
        <w:t xml:space="preserve">Trata-se de Agravo de Instrumento, com pedido de efeito suspensivo, interposto por Alexandre Lima Geo, em face da decisão proferida pelo Juízo da 3ª Vara Federal de Execução Fiscal de Belo Horizonte/MG que, nos autos da Execução Fiscal nº 0…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rejeição de Exceção de Pré-Executividade em execução fiscal. O agravante impugna a citação por edital, alega prescrição intercorrente e questiona o bloqueio de valores via SISBAJUD. O tribunal, em análise sumária, rejeita a nulidade da citação por edital por estar adequadamente precedida de tentativa de localização que certificou mudança para local incerto, não exigindo esgotamento infindável de diligências.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Agravo de Instrumento, com pedido de efeito suspensivo, interposto por Alexandre Lima Geo, em face da decisão proferida pelo Juízo da 3ª Vara Federal de Execução Fiscal de Belo Horizonte/MG que, nos autos da Execução Fiscal nº 0036416-77.2002.4.01.3800, rejeitou a sua Exceção de Pré-Executividade.</w:t>
      </w:r>
    </w:p>
    <w:p>
      <w:r>
        <w:t xml:space="preserve">O agravante relata que a execução fiscal originária foi ajuizada em 19/09/2002 em face da Massa Falida de Máxima Veículos Ltda., tendo havido o redirecionamento contra a sua pessoa e a citação por edital em 2006. </w:t>
      </w:r>
    </w:p>
    <w:p>
      <w:r>
        <w:t xml:space="preserve">Sustenta, inicialmente, a nulidade da citação editalícia (evento 126, VOL2, dos autos principais, pags. 25/28), sob o argumento de que teria ocorrido após uma única tentativa frustrada por mandado, sem o esgotamento real de diligências em sistemas auxiliares do serviço público.</w:t>
      </w:r>
    </w:p>
    <w:p>
      <w:r>
        <w:t xml:space="preserve">Sustenta também a ocorrência de prescrição intercorrente, asseverando que o marco inicial da contagem, conforme os parâmetros fixados pelo art. 40 da Lei n. 6.830/80. Refuta o entendimento do juízo de origem de que a penhora no rosto dos autos da falência, ocorrida em 2007, teria o condão de suspender indefinidamente o prazo.</w:t>
      </w:r>
    </w:p>
    <w:p>
      <w:r>
        <w:t xml:space="preserve">Insurge-se, por fim, contra o bloqueio de ativos financeiros via SISBAJUD no montante de R$16.430,81, alegando tratar-se de verba impenhorável por ser inferior ao patamar de 40 (quarenta) salários mínimos, nos termos do art. 833, inciso X, do Código de Processo Civil.</w:t>
      </w:r>
    </w:p>
    <w:p>
      <w:r>
        <w:t xml:space="preserve">Pugna pela concessão de efeito suspensivo e, no mérito, pelo provimento do recurso para declarar a nulidade da citação, o reconhecimento da prescrição intercorrente e a liberação dos valores constritos.</w:t>
      </w:r>
    </w:p>
    <w:p>
      <w:r>
        <w:t xml:space="preserve">É o relatório. </w:t>
      </w:r>
    </w:p>
    <w:p>
      <w:r>
        <w:t xml:space="preserve">A concessão de antecipação da tutela recursal, no âmbito do agravo de instrumento está condicionada à observância de dois requisitos: a relevância da fundamentação, com a probabilidade do direito e do provimento do recurso (fumus boni juris), e a possibilidade da ocorrência de perigo de dano ou de risco ao resultado útil ao processo, com a ameaça de se ter, na espécie, lesão grave e de difícil reparação (periculum in mora).</w:t>
      </w:r>
    </w:p>
    <w:p>
      <w:r>
        <w:t xml:space="preserve">Nulidade - citação por edital</w:t>
      </w:r>
    </w:p>
    <w:p>
      <w:r>
        <w:t xml:space="preserve">Em relação à alegada nulidade da citação por edital, as razões apresentadas pelo agravante não se mostram, neste momento processual, de verificação sumária, suficientes para desconstituir a presunção de legitimidade dos atos praticados no Juízo de origem. Explico.</w:t>
      </w:r>
    </w:p>
    <w:p>
      <w:r>
        <w:t xml:space="preserve">Consta dos autos que a citação editalícia foi precedida de tentativa de localização do executado no domicílio fiscal por ele informado à administração tributária. Na execução fiscal, a frustração da citação se deu por meio da certidão lavrada pelo Oficial de Justiça, que tem fé pública no exercício de sua função, no endereço fornecido pelo contribuinte, no qual o auxiliar do Juízo certificou (evento 126, VOL2, pag. 21): </w:t>
      </w:r>
    </w:p>
    <w:p>
      <w:r>
        <w:t xml:space="preserve">CERTIDÃO Certifico e dou fé de que compareci na Rua Erê, 299, Prado e, sendo ali, encontrei o imóvel fechado. Diligenciando pela vizinhança, fui informado de que a citanda se mudou para local incerto e não sabido. Não encontrei bens para serem arrestados. Estando a citanda em local incerto e não sabido, suspendi as diligências e devolvo o presente para os fins de direito. Belo Horizonte, 29 de novembro de 2002. Bel. Daniel Norberto da Cunha, - Oficial de Justiça Avaliador, n° 1141.</w:t>
      </w:r>
    </w:p>
    <w:p>
      <w:r>
        <w:t xml:space="preserve">Desse modo, considerando que, diferentemente de quando o citando não se encontra no endereço no momento da primeira visita, o que determina nove tentativa e inclusive a citação por hora certa, no caso, o Oficial certificou que a empresa se mudou para local incerto e não sabido. Portanto, constitui fundamento idôneo para a utilização da via editalícia, não sendo exigível do exequente uma peregrinação infindável por todos os endereços possíveis ou o exaurimento de todos os convênios eletrônicos quando os dados cadastrais oficiais se mostram desatualizados por omissão do próprio devedor.</w:t>
      </w:r>
    </w:p>
    <w:p>
      <w:r>
        <w:t xml:space="preserve">Assim, em uma análise sumária, propícia deste momento processual, a citação via edital observou os requisitos legais vigentes à época, não se vislumbrando o vício insanável apontado.</w:t>
      </w:r>
    </w:p>
    <w:p>
      <w:r>
        <w:t xml:space="preserve">Consequentemente, afastada a nulidade da citação por edital, resta afastada a alegação de prescrição intercorrente, uma vez que, sendo a citação considerada válida, houve a interrupção do prazo prescricional.</w:t>
      </w:r>
    </w:p>
    <w:p>
      <w:r>
        <w:t xml:space="preserve">Ademais, foi realizada penhora no rosto dos autos da falência n. 0024.96.110760-4, em 10/04/2007 (evento 126, VOL3,pag. 57) indica que houve a prática de ato executivo concreto e eficaz na busca pela satisfação do crédito tributário. Após, a CEF pediu a suspensão da execução, até o julgamento dos embargos à execução (pag. 61), o que foi deferido (mesmo evento, pag. 63). Após, sentença proferida nos embargos, em 29/06/2020, a magistrada de origem proferiu despacho, em 29/06/2020, nos seguintes termos:</w:t>
      </w:r>
    </w:p>
    <w:p>
      <w:r>
        <w:t xml:space="preserve">Considerando que a apelação interposta pela CEF nos autos dos embargos à execução n°. 2007.12312-1 fora recebida no efeito suspensivo, não havendo nos autos notícia do julgamento definitivo da ação desconstitutiva, esclareça a exequente o pedido formulado à fl. 126. Nada requerido, suspenda-se o andamento da presente execução até ulterior julgamento definitivo dos embargos supracitados. Belo Horizonte, 29.06.2020.</w:t>
      </w:r>
    </w:p>
    <w:p>
      <w:r>
        <w:t xml:space="preserve">Posteriormente, em 16/08/2022, a magistrada de origem determinou à exequente que diligenciasse acerca do andamento do processo de falimentar e da existência de valores para satisfação do débito exequendo (evento 140, OUT1).</w:t>
      </w:r>
    </w:p>
    <w:p>
      <w:r>
        <w:t xml:space="preserve">Em 30/09/2024, a exequente requereu o SISBAJUD (evento 159, PET1), que foi deferido (evento 161, DOC1)</w:t>
      </w:r>
    </w:p>
    <w:p>
      <w:r>
        <w:t xml:space="preserve">Interposta a exceção de pré executividade, o juiz a indeferiu (evento 184, DESPADEC1) consignando, no ponto que interessa: </w:t>
      </w:r>
    </w:p>
    <w:p>
      <w:r>
        <w:t xml:space="preserve">A paralisação da execução fiscal por determinação legal ou judicial obsta a fluência do prazo prescricional, mormente quando a causa da paralização não pode ser atribuída ao credor (AgRg no REsp 1.393.813/RS, Rel. Ministro Humberto Martins, Segunda Turma, DJe 19/05/2014; AgInt no AREsp 1.549.829/RJ, Rel. Ministro Mauro Campbell Marques, Segunda Turma, DJe 07/11/2019).</w:t>
      </w:r>
    </w:p>
    <w:p>
      <w:r>
        <w:t xml:space="preserve">Além disso, o feito permaneceu suspenso por determinação judicial durante todo o período de processamento dos embargos à execução opostos pela Massa Falida -- ação desconstitutiva cujo trânsito em julgado somente se operou em 2022 --, o que, por si só, impede a fluência de qualquer prazo prescricional no intervalo. A execução retomou seu curso regular após o ato ordinatório de 28/03/2022 (evento 135.1), e a exequente diligenciou tempestivamente, requerendo o bloqueio de ativos financeiros em 30/09/2024 (evento 159.1).</w:t>
      </w:r>
    </w:p>
    <w:p>
      <w:r>
        <w:t xml:space="preserve">Não há, portanto, inércia imputável à Fazenda Pública em nenhum dos períodos examinados, razão pela qual a prescrição intercorrente não se consumou.</w:t>
      </w:r>
    </w:p>
    <w:p>
      <w:r>
        <w:t xml:space="preserve">De fato, a existência de constrição judicial válida obsta o reconhecimento do transcurso do prazo prescricional por inércia da exequente, uma vez que a execução fiscal segue seu curso com a garantia do juízo, ainda que parcial.</w:t>
      </w:r>
    </w:p>
    <w:p>
      <w:r>
        <w:t xml:space="preserve">Levantamento de valores abaixo de 40 (quarenta) salários mínimos</w:t>
      </w:r>
    </w:p>
    <w:p>
      <w:r>
        <w:t xml:space="preserve">A jurisprudência pacífica do Superior Tribunal de Justiça é de que a irrisoriedade do valor penhorado (em dinheiro), comparado ao total da dívida executada, não impede a sua penhora via BacenJud, nem justifica o seu desbloqueio. Lado outro, nos termos do art. 833, incisos IV e X, do CPC/2015, são impenhoráveis os vencimentos, subsídios, soldos, salários, remunerações, proventos de aposentadoria, pensões, pecúlios e montepios, as quantias recebidas por liberalidade de terceiro e destinadas ao sustento do devedor e sua família, os ganhos de trabalhador autônomo e os honorários de profissional liberal, assim como os valores poupados mantidos em papel moeda, conta corrente, caderneta de poupança, CDB, RBD ou fundo de investimentos até o limite de 40 (quarenta) salários mínimos, ressalvados casos de abuso, má-fé ou fraude (STJ, REsp n. 1.826.026/RS, relator Ministro Herman Benjamin, Segunda Turma, julgado em 20/8/2019, DJe de 13/9/2019; AgInt no REsp n. 1.914.793/RS, relator Ministro Herman Benjamin, Segunda Turma, julgado em 14/6/2021, DJe de 1/7/2021; AgInt no REsp n. 2.062.361/RS, relatora Ministra Regina Helena Costa, Primeira Turma, julgado em 15/5/2023, DJe de 19/5/2023; AgInt no AREsp n. 2.152.816/RS, relator Ministro Francisco Falcão, Segunda Turma, julgado em 15/5/2023, DJe de 17/5/2023; AgInt no AREsp n. 1.961.696/RS, relator Ministro Mauro Campbell Marques, Segunda Turma, julgado em 27/3/2023, DJe de 31/3/2023). </w:t>
      </w:r>
    </w:p>
    <w:p>
      <w:r>
        <w:t xml:space="preserve">Com efeito, a interpretação conferida ao art. 833, incisos IV e X, do CPC/2015, está em consonância com o princípio da dignidade da pessoa humana e a proteção do mínimo existencial.</w:t>
      </w:r>
    </w:p>
    <w:p>
      <w:r>
        <w:t xml:space="preserve">No caso, o bloqueio efetuado via SISBAJUD (evento 164, SISBAJUD5, dos autos principais) totalizou R$16.430,81, valor este que se revela nitidamente inferior ao patamar de 40 salários mínimos vigentes na data da constrição.</w:t>
      </w:r>
    </w:p>
    <w:p>
      <w:r>
        <w:t xml:space="preserve">Portanto, a manutenção do bloqueio sobre tais ativos configura violação ao entendimento supracitado, justificando-se a intervenção judicial para salvaguardar a natureza alimentar e de reserva de subsistência do agravante.</w:t>
      </w:r>
    </w:p>
    <w:p>
      <w:r>
        <w:t xml:space="preserve">Do periculum in mora</w:t>
      </w:r>
    </w:p>
    <w:p>
      <w:r>
        <w:t xml:space="preserve">O perigo de dano resta evidenciado quanto à indisponibilidade do numerário de pequena monta, dada a sua função de garantia do mínimo existencial do agravante, o que justifica a imediata liberação apenas dessa parcela.</w:t>
      </w:r>
    </w:p>
    <w:p>
      <w:r>
        <w:t xml:space="preserve">Quanto aos demais pedidos de suspensão do processo, não se vislumbra risco iminente que não possa aguardar o julgamento do mérito deste recurso pela Turma, visto que a probabilidade do direito restou afastada, nos termos da fundamentação supra, uma vez que a citação foi tida como válida e não configurada a prescrição.</w:t>
      </w:r>
    </w:p>
    <w:p>
      <w:r>
        <w:t xml:space="preserve">Ante o exposto, defiro, parcialmente, o pedido de antecipação de tutela recursal tão somente apenas para reconhecer a impenhorabilidade do valor de R$ 16.430,81 bloqueado nas contas do agravante, determinando-se ao juízo de origem a imediata expedição de alvará ou ordem de desbloqueio. </w:t>
      </w:r>
    </w:p>
    <w:p>
      <w:r>
        <w:t xml:space="preserve">Comunique-se, com urgência, ao Juízo de origem, com urgência, pela via mais expedita, para ciência do teor desta decisão</w:t>
      </w:r>
    </w:p>
    <w:p>
      <w:r>
        <w:t xml:space="preserve">Intime-se a agravada/Fazenda Nacional, nos termos do art. 1.019, inciso II, do CPC, para, querendo, apresentar contraminuta ao agravo interposto, no prazo legal de 30 (trinta) dias.</w:t>
      </w:r>
    </w:p>
    <w:p>
      <w:r>
        <w:t xml:space="preserve">Publique-se. Intimem-se.</w:t>
      </w:r>
    </w:p>
    <w:p>
      <w:r>
        <w:t xml:space="preserve">Belo Horizonte, data da assinatura eletrônica.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2026-06-05T10:34:35.728Z</dcterms:created>
  <dcterms:modified xsi:type="dcterms:W3CDTF">2026-06-05T10:34:35.728Z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