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6003099-56.2026.4.06.0000/TRF6</w:t>
      </w:r>
    </w:p>
    <w:p>
      <w:r>
        <w:rPr>
          <w:b/>
          <w:bCs/>
        </w:rPr>
        <w:t xml:space="preserve">Tribunal: </w:t>
      </w:r>
      <w:r>
        <w:t xml:space="preserve">TRF6</w:t>
      </w:r>
    </w:p>
    <w:p>
      <w:r>
        <w:rPr>
          <w:b/>
          <w:bCs/>
        </w:rPr>
        <w:t xml:space="preserve">Relator: </w:t>
      </w:r>
      <w:r>
        <w:t xml:space="preserve">Andre Prado De Vasconcelos</w:t>
      </w:r>
    </w:p>
    <w:p>
      <w:r>
        <w:rPr>
          <w:b/>
          <w:bCs/>
        </w:rPr>
        <w:t xml:space="preserve">Julgado em: </w:t>
      </w:r>
      <w:r>
        <w:t xml:space="preserve">25/05/2026</w:t>
      </w:r>
    </w:p>
    <w:p/>
    <w:p>
      <w:r>
        <w:t xml:space="preserve">Trata-se de agravo de instrumento interposto pela União em face de decisão proferida pelo Juízo da 13ª Vara Federal Cível e JEF Adjunto da Subseção Judiciária de Belo Horizonte/MG que, nos autos de tutela antecipada antecedente ajuizada por…</w:t>
      </w:r>
    </w:p>
    <w:p/>
    <w:p>
      <w:pPr>
        <w:pStyle w:val="Heading2"/>
      </w:pPr>
      <w:r>
        <w:rPr>
          <w:b/>
          <w:bCs/>
        </w:rPr>
        <w:t xml:space="preserve">Resumo</w:t>
      </w:r>
    </w:p>
    <w:p>
      <w:r>
        <w:t xml:space="preserve">Agravo de instrumento da União contra decisão que deferiu tutela antecipada para fornecimento de medicamento não incorporado ao SUS. O Tribunal reconheceu probabilidade do direito na tese de violação aos requisitos cumulativos fixados pelo STF (Temas 6 e 1.234 da repercussão geral), especialmente quanto à comprovação de evidências científicas de alto nível e impossibilidade de substituição terapêutica, além da falta da nota técnica do Natjus previamente determinada. Concedido efeito suspensivo ao agravo para suspender a eficácia da decisão até julgamento do mérito.</w:t>
      </w:r>
    </w:p>
    <w:p/>
    <w:p>
      <w:pPr>
        <w:pStyle w:val="Heading2"/>
      </w:pPr>
      <w:r>
        <w:rPr>
          <w:b/>
          <w:bCs/>
        </w:rPr>
        <w:t xml:space="preserve">Ementa</w:t>
      </w:r>
    </w:p>
    <w:p>
      <w:r>
        <w:t xml:space="preserve">Trata-se de agravo de instrumento interposto pela União em face de decisão proferida pelo Juízo da 13ª Vara Federal Cível e JEF Adjunto da Subseção Judiciária de Belo Horizonte/MG que, nos autos de tutela antecipada antecedente ajuizada por A.C.S.R. contra a União, o Estado de Minas Gerais e o Município de Pouso Alegre/MG, deferiu tutela de urgência para determinar, solidariamente, o fornecimento integral, contínuo e tempestivo do medicamento Mirvetuximabe Soravtansina (Elahere), na forma prescrita, para tratamento de neoplasia de ovário em estágio IV, além de fixar multa diária em caso de descumprimento e estabelecer contracautelas e providências correlatas (evento 18, DESPADEC1). </w:t>
      </w:r>
    </w:p>
    <w:p>
      <w:r>
        <w:t xml:space="preserve">Sustenta a agravante, em síntese, a nulidade da decisão recorrida por inobservância do item 3, alínea "b", do Tema 6 da repercussão geral, porquanto a tutela de urgência foi deferida antes da juntada da nota técnica do Natjus, cuja elaboração havia sido determinada pelo próprio juízo de origem. Aduz o descumprimento do ônus probatório quanto aos requisitos cumulativos do Tema 6 e da Súmula Vinculante n. 61, especialmente no tocante à comprovação por evidências científicas de alto nível, à impossibilidade de substituição terapêutica e à demonstração de ilegalidade ou mora da Conitec no processo de incorporação. Aponta, ainda, a indevida amplitude do comando judicial ao autorizar prorrogação automática do tratamento por simples relatório do médico assistente, sem reavaliação judicial nem filtro técnico independente. Subsidiariamente, postula a observância do Coeficiente de Adequação de Preços (CAP) e do Preço Máximo de Venda ao Governo (PMVG), a adoção da Denominação Comum Brasileira, a dilação do prazo de cumprimento e a exclusão ou redução das astreintes. Requer a atribuição de efeito suspensivo e, ao final, o provimento do recurso para declaração de nulidade da decisão de origem ou, subsidiariamente, sua reforma (evento 1, INIC1).</w:t>
      </w:r>
    </w:p>
    <w:p>
      <w:r>
        <w:t xml:space="preserve">É o relatório.</w:t>
      </w:r>
    </w:p>
    <w:p>
      <w:r>
        <w:t xml:space="preserve">Decido.</w:t>
      </w:r>
    </w:p>
    <w:p>
      <w:r>
        <w:t xml:space="preserve">Presentes os pressupostos de admissibilidade recursal, conheço do agravo de instrumento.</w:t>
      </w:r>
    </w:p>
    <w:p>
      <w:r>
        <w:t xml:space="preserve">Nos termos do art. 995, parágrafo único, do Código de Processo Civil, a atribuição de efeito suspensivo exige a demonstração cumulativa da probabilidade do direito e do risco de dano grave ou de difícil reparação.</w:t>
      </w:r>
    </w:p>
    <w:p>
      <w:r>
        <w:t xml:space="preserve">Quanto à probabilidade do direito, verifica-se, em sede de cognição sumária, que a decisão agravada não observou requisitos de observância obrigatória fixados pelo Supremo Tribunal Federal nos Temas 6 e 1.234 da repercussão geral, a seguir transcritos:</w:t>
      </w:r>
    </w:p>
    <w:p>
      <w:r>
        <w:t xml:space="preserve">Tema 6</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w:t>
      </w:r>
    </w:p>
    <w:p>
      <w:r>
        <w:t xml:space="preserve">(a) negativa de fornecimento do medicamento na via administrativa, nos termos do item '4' do Tema 1234 da repercussão geral;</w:t>
      </w:r>
    </w:p>
    <w:p>
      <w:r>
        <w:t xml:space="preserve">(b) ilegalidade do ato de não incorporação do medicamento pela Conitec, ausência de pedido de incorporação ou da mora na sua apreciação, tendo em vista os prazos e critérios previstos nos artigos 19-Q e 19-R da Lei nº 8.080/1990 e no Decreto nº 7.646/2011;</w:t>
      </w:r>
    </w:p>
    <w:p>
      <w:r>
        <w:t xml:space="preserve">(c) impossibilidade de substituição por outro medicamento constante das listas do SUS e dos protocolos clínicos e diretrizes terapêuticas;</w:t>
      </w:r>
    </w:p>
    <w:p>
      <w:r>
        <w:t xml:space="preserve">(d)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w:t>
      </w:r>
    </w:p>
    <w:p>
      <w:r>
        <w:t xml:space="preserve">(e) imprescindibilidade clínica do tratamento, comprovada mediante laudo médico fundamentado, descrevendo inclusive qual o tratamento já realizado; e</w:t>
      </w:r>
    </w:p>
    <w:p>
      <w:r>
        <w:t xml:space="preserve">(f)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w:t>
      </w:r>
    </w:p>
    <w:p>
      <w:r>
        <w:t xml:space="preserve">(a)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w:t>
      </w:r>
    </w:p>
    <w:p>
      <w:r>
        <w:t xml:space="preserve">(b)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w:t>
      </w:r>
    </w:p>
    <w:p>
      <w:r>
        <w:t xml:space="preserve">(c) no caso de deferimento judicial do fármaco, oficiar aos órgãos competentes para avaliarem a possibilidade de sua incorporação no âmbito do SUS.</w:t>
      </w:r>
    </w:p>
    <w:p>
      <w:r>
        <w:t xml:space="preserve">Tema 1.234 </w:t>
      </w:r>
    </w:p>
    <w:p>
      <w:r>
        <w:t xml:space="preserve">"I - Competência</w:t>
      </w:r>
    </w:p>
    <w:p>
      <w:r>
        <w:t xml:space="preserve">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w:t>
      </w:r>
    </w:p>
    <w:p>
      <w:r>
        <w:t xml:space="preserve">(...) </w:t>
      </w:r>
    </w:p>
    <w:p>
      <w:r>
        <w:t xml:space="preserve">III — Custeio </w:t>
      </w:r>
    </w:p>
    <w:p>
      <w:r>
        <w:t xml:space="preserve">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w:t>
      </w:r>
    </w:p>
    <w:p>
      <w:r>
        <w:t xml:space="preserve">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w:t>
      </w:r>
    </w:p>
    <w:p>
      <w:r>
        <w:t xml:space="preserve">(...) </w:t>
      </w:r>
    </w:p>
    <w:p>
      <w:r>
        <w:t xml:space="preserve">IV — Análise judicial do ato administrativo de indeferimento de medicamento pelo SUS</w:t>
      </w:r>
    </w:p>
    <w:p>
      <w:r>
        <w:t xml:space="preserve">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w:t>
      </w:r>
    </w:p>
    <w:p>
      <w:r>
        <w:t xml:space="preserve">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w:t>
      </w:r>
    </w:p>
    <w:p>
      <w:r>
        <w:t xml:space="preserve">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w:t>
      </w:r>
    </w:p>
    <w:p>
      <w:r>
        <w:t xml:space="preserve">4.3) Tratando-se de medicamento não incorporado, é do autor da ação o ônus de demonstrar, com fundamento na Medicina Baseada em Evidências, a segurança e a eficácia do fármaco, bem como a inexistência de substituto terapêutico incorporado pelo SUS.</w:t>
      </w:r>
    </w:p>
    <w:p>
      <w:r>
        <w:t xml:space="preserve">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Em análise preliminar, entendo que a parte agravada não preenche todos os requisitos para a concessão do fármaco pretendido. Observa-se que a decisão agravada foi proferida sem a prévia consulta ao Núcleo de Apoio Técnico do Poder Judiciário (Natjus), providência expressamente exigida pelo Supremo Tribunal Federal no Tema 6 da repercussão geral como requisito para a aferição dos critérios de dispensação de medicamentos não incorporados ao SUS.</w:t>
      </w:r>
    </w:p>
    <w:p>
      <w:r>
        <w:t xml:space="preserve">Com efeito, o item 3, alínea b, do referido precedente vinculante estabelece que a decisão judicial não pode se fundamentar exclusivamente em prescrição ou laudo médico apresentado pela parte autora, sendo necessária a prévia consulta a órgão técnico especializado, sempre que disponível. No caso dos autos, embora tenha sido determinada a elaboração de nota técnica, a tutela de urgência foi deferida antes da sua juntada, em descompasso com a orientação fixada pelo STF. Tal circunstância, por si só, compromete, neste momento, a verificação adequada da probabilidade do direito, impondo a suspensão dos efeitos da decisão agravada.</w:t>
      </w:r>
    </w:p>
    <w:p>
      <w:r>
        <w:t xml:space="preserve">Quanto ao risco de dano grave ou de difícil reparação, igualmente se afigura presente. A imediata disponibilização do fármaco, com elevado valor unitário e em ciclos sucessivos, importa em desembolso vultoso de recursos públicos cuja restituição se mostra de improvável recuperação na hipótese de reforma da decisão recorrida, configurando-se a irreversibilidade fática do provimento, em desconformidade com o art. 300, § 3º, do Código de Processo Civil.</w:t>
      </w:r>
    </w:p>
    <w:p>
      <w:r>
        <w:t xml:space="preserve">Convém registrar que este Relator já reconheceu o mesmo vício no Agravo de Instrumento n. 6003725-75.2026.4.06.0000, interposto pelo Município de Pouso Alegre/MG contra idêntica decisão agravada, ocasião em que deferiu efeito suspensivo com fundamento na ausência de prévia consulta ao Natjus. Embora a referida decisão monocrática tenha perdido eficácia em razão da superveniente extinção do recurso do Município -- decorrente do juízo de retratação proferido pelo magistrado de primeiro grau que excluiu o ente municipal do polo passivo --, a razão de decidir atinente à exigibilidade da nota técnica do Natjus constitui causa de pedir comum a ambos os recursos. Tal fundamento ostenta natureza objetiva e transcende a esfera subjetiva do recorrente originário, configurando elemento de convicção que pode e deve ser replicado na análise do presente agravo, em prestígio à coerência decisória e à integridade da jurisprudência da Corte, valores tutelados pelo art. 926 do Código de Processo Civil.</w:t>
      </w:r>
    </w:p>
    <w:p>
      <w:r>
        <w:t xml:space="preserve">Ante o exposto:</w:t>
      </w:r>
    </w:p>
    <w:p>
      <w:r>
        <w:t xml:space="preserve">1) defiro o pedido de atribuição de efeito suspensivo para suspender os efeitos da decisão agravada;</w:t>
      </w:r>
    </w:p>
    <w:p>
      <w:r>
        <w:t xml:space="preserve">2) determino a intimação da parte agravada para, no prazo de 5 dias, juntar aos autos eventuais documentos médicos complementares que entender necessários ou indicar objetivamente a documentação já constante dos autos que entender imprescindível;</w:t>
      </w:r>
    </w:p>
    <w:p>
      <w:r>
        <w:t xml:space="preserve">3) decorrido o prazo, com ou sem manifestação, determino à Secretaria que solicite, com urgência, por meio do sistema Natjus, a elaboração de nova nota técnica acerca do medicamento Mirvetuximabe Soravtansina (Elahere), na posologia indicada para o tratamento da neoplasia maligna de ovário (CID C56) que acomete a parte autora, considerando integralmente o acervo documental constante dos autos originários, inclusive eventual documentação superveniente;</w:t>
      </w:r>
    </w:p>
    <w:p>
      <w:r>
        <w:t xml:space="preserve">4) após, intimem-se as partes, inclusive a parte agravada para apresentar contrarrazões, nos termos do art. 1.019, II, do CPC.</w:t>
      </w:r>
    </w:p>
    <w:p>
      <w:r>
        <w:t xml:space="preserve">Comunique-se ao juízo de origem.</w:t>
      </w:r>
    </w:p>
    <w:p>
      <w:r>
        <w:t xml:space="preserve">Após, tornem os autos conclusos.</w:t>
      </w:r>
    </w:p>
    <w:p>
      <w:r>
        <w:t xml:space="preserve">Belo Horizonte, data do registro.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2026-06-05T09:07:35.869Z</dcterms:created>
  <dcterms:modified xsi:type="dcterms:W3CDTF">2026-06-05T09:07:35.869Z</dcterms:modified>
</cp:coreProperties>
</file>

<file path=docProps/custom.xml><?xml version="1.0" encoding="utf-8"?>
<Properties xmlns="http://schemas.openxmlformats.org/officeDocument/2006/custom-properties" xmlns:vt="http://schemas.openxmlformats.org/officeDocument/2006/docPropsVTypes"/>
</file>