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TESTAMENTO</w:t>
      </w:r>
    </w:p>
    <w:p>
      <w:r>
        <w:rPr>
          <w:i/>
          <w:iCs/>
          <w:color w:val="666666"/>
        </w:rPr>
        <w:t xml:space="preserve">CLÁUSULA IMPOSTA AOS RENDIMENTOS</w:t>
      </w:r>
    </w:p>
    <w:p/>
    <w:p>
      <w:r>
        <w:rPr>
          <w:b/>
          <w:bCs/>
        </w:rPr>
        <w:t xml:space="preserve">Recurso: </w:t>
      </w:r>
      <w:r>
        <w:t xml:space="preserve">6003031-43.2025.4.06.0000/TRF6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Flavio Boson Gambogi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2ª Turma - Prev/Serv do Tribunal Regional Federal da 6ª Região decidiu, por unanimidade, dar parcial provimento ao agravo de instrumento, para permitir a inclusã…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execução de sentença trabalhista. Discute-se a inclusão de parcelas vencidas até a aposentadoria do servidor. Tribunal concedeu provimento parcial para incluir todas as prestações devidas até o término da relação de trabalho em 2017.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Prev/Serv do Tribunal Regional Federal da 6ª Região decidiu, por unanimidade, dar parcial provimento ao agravo de instrumento, para permitir a inclusão, no cumprimento de sentença, de todas as parcelas vencidas até a cessação da relação de trabalho do Agravante, ocorrida com sua aposentadoria em 2017,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2026-06-05T10:46:30.432Z</dcterms:created>
  <dcterms:modified xsi:type="dcterms:W3CDTF">2026-06-05T10:46:30.432Z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