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COMUNICAÇÃO AO JUÍZO AGRAVADO</w:t>
      </w:r>
    </w:p>
    <w:p/>
    <w:p>
      <w:r>
        <w:rPr>
          <w:b/>
          <w:bCs/>
        </w:rPr>
        <w:t xml:space="preserve">Recurso: </w:t>
      </w:r>
      <w:r>
        <w:t xml:space="preserve">6002878-73.2026.4.06.0000/TRF6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Flavio Boson Gambogi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Vistos e relatados estes autos em que são partes as acima indicadas, a Egrégia 2ª Turma - Prev/Serv do Tribunal Regional Federal da 6ª Região decidiu, por unanimidade, dar parcial provimento ao agravo de instrumento para readequar o valor d…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Instrumento: readequação do valor da causa de R$94.920,56, mantendo a competência da 1ª Vara Federal Cível com JEF Adjunto de Sete Lagoas/MG para prosseguimento do processo de origem. Decisão unânime pela 2ª Turma - Prev/Serv do TRF-6ª Região.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Prev/Serv do Tribunal Regional Federal da 6ª Região decidiu, por unanimidade, dar parcial provimento ao agravo de instrumento para readequar o valor da causa para R$94.920,56, o que, consequentemente, mantém a competência do Juízo da 1ª Vara Federal Cível com JEF Adjunto da Subseção Judiciária de Sete Lagoas/MG para julgar o processo de origem,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2026-06-05T10:46:32.699Z</dcterms:created>
  <dcterms:modified xsi:type="dcterms:W3CDTF">2026-06-05T10:46:32.699Z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