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AGRAVO DE INSTRUMENTO</w:t>
      </w:r>
    </w:p>
    <w:p>
      <w:r>
        <w:rPr>
          <w:i/>
          <w:iCs/>
          <w:color w:val="666666"/>
        </w:rPr>
        <w:t xml:space="preserve">TUTELA ANTECIPADA</w:t>
      </w:r>
    </w:p>
    <w:p/>
    <w:p>
      <w:r>
        <w:rPr>
          <w:b/>
          <w:bCs/>
        </w:rPr>
        <w:t xml:space="preserve">Recurso: </w:t>
      </w:r>
      <w:r>
        <w:t xml:space="preserve">6005804-27.2026.4.06.0000/TRF6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Derivaldo De Figueiredo Bezerra Filho</w:t>
      </w:r>
    </w:p>
    <w:p>
      <w:r>
        <w:rPr>
          <w:b/>
          <w:bCs/>
        </w:rPr>
        <w:t xml:space="preserve">Julgado em: </w:t>
      </w:r>
      <w:r>
        <w:t xml:space="preserve">26/05/2026</w:t>
      </w:r>
    </w:p>
    <w:p/>
    <w:p>
      <w:r>
        <w:t xml:space="preserve">Trata-se de pedido de tutela provisória de urgência em sede de Agravo de Instrumento interposto por G.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Trata-se de pedido de tutela provisória de urgência em sede de Agravo de Instrumento interposto por G. F. N. contra decisão interlocutória proferida pelo Juízo da 02ª Vara Cível e JEF Adjunto de Montes Claros/MG.</w:t>
      </w:r>
    </w:p>
    <w:p>
      <w:r>
        <w:t xml:space="preserve">Conforme narrado na peça exordial deste recurso (Evento 1, págs. 1-4), a Agravante insurge-se contra a decisão de piso que indeferiu seu pedido de tutela de urgência (Evento 4, págs. 1-3). Na origem, a Autora ajuizou Ação Ordinária objetivando a anulação de questões da prova objetiva do Concurso Público Nacional Unificado (CNU) - Bloco 4, especificamente as questões 1, 4 e 13 do turno da manhã (Gabarito 1) e as questões 17, 34, 37, 38, 39 e 40 do turno da tarde (Gabarito 3).</w:t>
      </w:r>
    </w:p>
    <w:p>
      <w:r>
        <w:t xml:space="preserve">A Agravante sustenta, em apertada síntese, a ocorrência de erros materiais grosseiros, multiplicidade de respostas corretas e exigência de conteúdo não previsto no edital (como a cobrança da Lei de Execução Penal na Questão 1). Para fundamentar o alegado, colaciona "prova pericial emprestada" extraída de outros processos judiciais (Evento 1, págs. 14, 20, 30-31), bem como pareceres técnicos de entidades como a ABERGO, requerendo a atribuição provisória dos pontos para que possa prosseguir nas demais fases do certame, com a correção de sua prova discursiva (Evento 1, págs. 5-7, 39).</w:t>
      </w:r>
    </w:p>
    <w:p>
      <w:r>
        <w:t xml:space="preserve">A decisão agravada indeferiu a medida liminar sob o fundamento principal de que a intervenção judicial no mérito administrativo é vedada, invocando o Tema 485 do Supremo Tribunal Federal (STF). O Juízo a quo destacou, ainda, que a verificação dos alegados vícios demandaria dilação probatória e que não se encontrava adstrito à prova pericial emprestada, porquanto produzida sem o crivo do contraditório nos próprios autos originários (Evento 4, págs. 2-3).</w:t>
      </w:r>
    </w:p>
    <w:p>
      <w:r>
        <w:t xml:space="preserve">Em sua defesa nos autos originários, a União Federal apresentou contestação arguindo, preliminarmente, a impugnação ao valor da causa e a sua ilegitimidade passiva. No mérito, defendeu a presunção de legitimidade do ato administrativo, a autonomia da banca examinadora (invocando o Tema 485/STF) e alertou que a concessão da medida violaria a isonomia e as regras editalícias, notadamente a cláusula de barreira estabelecida no item 7.1.2.2 (Evento 11, págs. 1-8).</w:t>
      </w:r>
    </w:p>
    <w:p>
      <w:r>
        <w:t xml:space="preserve">A Fundação Cesgranrio, por sua vez, também contestou o feito, suscitando preliminar de impugnação à gratuidade de justiça deferida à Autora. No mérito, sustentou a discricionariedade técnica da banca, argumentando que a escolha da alternativa correta pauta-se em critérios objetivos e científicos, e que as alternativas tidas por "igualmente corretas" pela Autora são incompletas ou imprecisas, rechaçando a tese de erro grosseiro ou extrapolação do edital (Evento 18, págs. 2-5).</w:t>
      </w:r>
    </w:p>
    <w:p>
      <w:r>
        <w:t xml:space="preserve">Em réplica, a Agravante rechaçou as preliminares arguidas pelas rés, defendendo a legitimidade solidária da União como organizadora do certame (MGI) e a manutenção da justiça gratuita e do valor da causa por estimativa. No mérito, reiterou a existência de ilegalidades manifestas e a inaplicabilidade da vedação do Tema 485/STF aos casos de erro grosseiro, colacionando precedentes de Tribunais Regionais Federais que já teriam anulado questões do Bloco 4 do CNU (Evento 21, págs. 2-11).</w:t>
      </w:r>
    </w:p>
    <w:p>
      <w:r>
        <w:t xml:space="preserve">É o breve relatório. Decido.</w:t>
      </w:r>
    </w:p>
    <w:p>
      <w:r>
        <w:t xml:space="preserve">A concessão de tutela provisória de urgência (ou a antecipação da tutela recursal) demanda a demonstração concomitante da probabilidade do direito invocado (fumus boni iuris) e do perigo de dano ou risco ao resultado útil do processo (periculum in mora), nos estritos termos do art. 300 do Código de Processo Civil.</w:t>
      </w:r>
    </w:p>
    <w:p>
      <w:r>
        <w:t xml:space="preserve">Nesta fase de cognição perfunctória, inerente à apreciação de medidas liminares, não vislumbro a presença da probabilidade do direito apta a ensejar a reforma imediata da decisão proferida pelo Juízo de base.</w:t>
      </w:r>
    </w:p>
    <w:p>
      <w:r>
        <w:t xml:space="preserve">A controvérsia central gravita em torno do controle jurisdicional dos atos de avaliação de concursos públicos. A matéria encontra-se pacificada pelo Supremo Tribunal Federal, sob a sistemática da Repercussão Geral, por meio do Tema 485 (RE 632.853/CE), cuja tese estabelece que: "não compete ao Poder Judiciário substituir a banca examinadora para reexaminar o conteúdo das questões e os critérios de correção utilizados, salvo ocorrência de ilegalidade ou de inconstitucionalidade" (Evento 4, pág. 2; Evento 11, pág. 6).</w:t>
      </w:r>
    </w:p>
    <w:p>
      <w:r>
        <w:t xml:space="preserve">A excepcional intervenção do Poder Judiciário cinge-se, portanto, a casos de teratologia, erro material perceptível de plano (primo ictu oculi) ou flagrante descompasso entre a exigência da prova e o conteúdo programático do edital.</w:t>
      </w:r>
    </w:p>
    <w:p>
      <w:r>
        <w:t xml:space="preserve">No caso em apreço, a Agravante alega a ocorrência de "erros grosseiros" consubstanciados na duplicidade de alternativas e na extrapolação do conteúdo editalício, amparando-se extensamente em "prova emprestada" consubstanciada em laudos periciais e pareceres técnicos produzidos em outras demandas (Evento 1, págs. 14, 20, 30-31).</w:t>
      </w:r>
    </w:p>
    <w:p>
      <w:r>
        <w:t xml:space="preserve">Todavia, a própria densidade, extensão e complexidade técnica das argumentações lançadas pela Agravante nas dezenas de páginas de sua petição (envolvendo normas detalhadas de ergonomia, estresse ocupacional, políticas públicas e teorias de saúde) infirmam, paradoxalmente, a tese de "erro material evidente" ou "erro grosseiro perceptível de plano". Como bem assentado na decisão agravada, "o erro crasso/grosseiro... é aquela falha considerada absurda à primeira vista, evidente, indiscutível, e não suposto erro de escolha da banca examinadora em relação à doutrina, ciência ou conjunto de regras técnicas" (Evento 4, pág. 2).</w:t>
      </w:r>
    </w:p>
    <w:p>
      <w:r>
        <w:t xml:space="preserve">A Fundação Cesgranrio, atuando no exercício regular de sua discricionariedade técnica, demonstrou em sua defesa que as questões impugnadas possuem respaldo em literatura e normas técnicas aplicáveis, e que as alternativas descartadas se revelam genéricas ou incompletas sob a ótica da avaliação delineada pela banca (Evento 18, págs. 3-4). Dirimir essa divergência de perspectivas científicas e teóricas é atribuição exclusiva do mérito administrativo, imune à ingerência judicial sumária.</w:t>
      </w:r>
    </w:p>
    <w:p>
      <w:r>
        <w:t xml:space="preserve">Quanto ao uso da prova emprestada (art. 372 do CPC) para configurar o direito já nesta fase incipiente, o Superior Tribunal de Justiça é claro ao determinar que o empréstimo probatório pressupõe a estrita observância do contraditório. Admitir, em sede liminar inaudita altera parte, a conclusão de perito de outro processo como verdade absoluta para desconstituir o gabarito oficial de um certame nacional equivaleria a cercear o direito de defesa técnica das bancas examinadoras nestes autos específicos. O Juízo da origem agiu com acerto ao ressaltar que o laudo técnico colacionado "ainda não foi submetido ao contraditório nestes autos" (Evento 4, pág. 3).</w:t>
      </w:r>
    </w:p>
    <w:p>
      <w:r>
        <w:t xml:space="preserve">Ademais, no que tange à suposta fuga ao edital (ex: a alegação de cobrança indevida de legislação processual penal/execução penal na Questão 1 da prova da manhã), convém ponderar que o Edital n.º 04/2024 para o Bloco 4 (Trabalho e Saúde do Servidor) é pautado por conhecimentos interdisciplinares. O conteúdo programático geral envolve "Desafios do Estado de Direito: Democracia e Cidadania", "Efetivação e reparação de Direitos Humanos" e afins (Evento 1, págs. 43-45). Em análise sumária, a abordagem acerca das condições de trabalho e garantias de direitos, mesmo que remeta indiretamente a legislações conexas, não se afigura manifestamente estranha ou desproporcional ao arcabouço temático exigido para um cargo federal de alta complexidade. A jurisprudência do STJ orienta que a previsão exaustiva de subtemas no edital é desnecessária, cabendo ao candidato o estudo global do tema principal (Evento 11, pág. 8).</w:t>
      </w:r>
    </w:p>
    <w:p>
      <w:r>
        <w:t xml:space="preserve">Por fim, a pretendida alteração isolada da nota mediante intervenção jurisdicional precoce ostenta forte potencial de gerar quebra da isonomia e da impessoalidade entre os milhões de concorrentes, interferindo indevidamente no fluxo regular do certame e burlando as regras da cláusula de barreira (Item 7.1.2.2 do Edital), cuja presunção de legitimidade milita em favor da Administração Pública (Evento 11, págs. 3, 7).</w:t>
      </w:r>
    </w:p>
    <w:p>
      <w:r>
        <w:t xml:space="preserve">Desta feita, ausente prova inequívoca de flagrante ilegalidade capaz de transpor a barreira estabelecida pelo Tema 485/STF, a questão desafia o amplo contraditório e dilação probatória própria da fase instrutória do processo de origem, inviabilizando a concessão da tutela provisória recursal.</w:t>
      </w:r>
    </w:p>
    <w:p>
      <w:r>
        <w:t xml:space="preserve">DISPOSITIVO</w:t>
      </w:r>
    </w:p>
    <w:p>
      <w:r>
        <w:t xml:space="preserve">Ante o exposto, por não restarem configurados os requisitos legais previstos no art. 300 c/c art. 1.019, I, do Código de Processo Civil, INDEFIRO o pedido de antecipação da tutela de urgência recursal.</w:t>
      </w:r>
    </w:p>
    <w:p>
      <w:r>
        <w:t xml:space="preserve">Intimem-se os Agravados (União Federal e Fundação Cesgranrio) para, querendo, apresentarem contrarrazões ao presente recurso no prazo legal, nos termos do art. 1.019, II, do CPC.</w:t>
      </w:r>
    </w:p>
    <w:p>
      <w:r>
        <w:t xml:space="preserve">Publique-se. Intimem-se. Cumpra-se.</w:t>
      </w:r>
    </w:p>
    <w:p>
      <w:r>
        <w:t xml:space="preserve">Belo Horizonte/MG, data da assinatura eletrônica.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2026-06-05T10:45:42.816Z</dcterms:created>
  <dcterms:modified xsi:type="dcterms:W3CDTF">2026-06-05T10:45:42.816Z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