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PROCESSO ADMINISTRATIVO</w:t>
      </w:r>
    </w:p>
    <w:p/>
    <w:p>
      <w:r>
        <w:rPr>
          <w:b/>
          <w:bCs/>
        </w:rPr>
        <w:t xml:space="preserve">Recurso: </w:t>
      </w:r>
      <w:r>
        <w:t xml:space="preserve">0038053-87.2007.4.01.3800/TRF6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Diogo Souza Santa Cecilia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Vistos e relatados estes autos em que são partes as acima indicadas, a Egrégia 2ª Turma Suplementar do Tribunal Regional Federal da 6ª Região decidiu, por unanimidade, dar provimento à remessa necessária e às apelações da União e da UFMG, p…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Remessa necessária e apelações da União e UFMG tiveram provimento para reformar sentença que reconhecia decadência administrativa. A 2ª Turma Suplementar do TRF6 julgou improcedentes os pedidos iniciais dos autores, afastando a decadência alegada, e negou provimento ao agravo retido e apelação dos demandantes.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Suplementar do Tribunal Regional Federal da 6ª Região decidiu, por unanimidade, dar provimento à remessa necessária e às apelações da União e da UFMG, para reformar parcialmente a sentença e julgar improcedentes os pedidos iniciais, afastando-se a ocorrência de decadência administrativa, e negar provimento ao agravo retido e à apelação dos autores,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2026-06-05T09:06:44.144Z</dcterms:created>
  <dcterms:modified xsi:type="dcterms:W3CDTF">2026-06-05T09:06:44.144Z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