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6008045-71.2026.4.06.0000/TRF6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Miguel Angelo De Alvarenga Lopes</w:t>
      </w:r>
    </w:p>
    <w:p>
      <w:r>
        <w:rPr>
          <w:b/>
          <w:bCs/>
        </w:rPr>
        <w:t xml:space="preserve">Julgado em: </w:t>
      </w:r>
      <w:r>
        <w:t xml:space="preserve">28/05/2026</w:t>
      </w:r>
    </w:p>
    <w:p/>
    <w:p>
      <w:r>
        <w:t xml:space="preserve">Trata-se de pedido de atribuição de efeito suspensivo à apelação interposta por DURO NA QUEDA CONSTRUÇÕES LTDA em face da sentença proferida pelo Juízo da 1ª Vara Cível e JEF Adjunto de Pouso Alegre, que, nos autos do mandado de segurança 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mandado de segurança contra DNIT por cobrança de reequilíbrio econômico-financeiro negativo de contrato de manutenção rodoviária. A construtora questiona a metodologia utilizada na apuração do débito de R$ 269.091,02, alegando desconformidade com a Lei nº 8.666/1993 e ausência de álea extraordinária. O tribunal negou o efeito suspensivo à apelação, entendendo insuficiente a demonstração de probabilidade de provimento do recurso, considerando a fundamentação adequada da sentença que validou o procedimento administrativo do DNIT.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de atribuição de efeito suspensivo à apelação interposta por DURO NA QUEDA CONSTRUÇÕES LTDA em face da sentença proferida pelo Juízo da 1ª Vara Cível e JEF Adjunto de Pouso Alegre, que, nos autos do mandado de segurança ajuizado em desfavor do Departamento Nacional de Infraestrutura de Transportes - DNIT, julgou improcedentes os pedidos formulados na inicial e revogou a tutela de urgência anteriormente deferida.</w:t>
      </w:r>
    </w:p>
    <w:p>
      <w:r>
        <w:t xml:space="preserve">Na origem, a impetrante objetiva o reconhecimento da ilegalidade do procedimento administrativo instaurado pelo DNIT para promover reequilíbrio econômico-financeiro negativo do Contrato UT6-00761/2021, firmado para execução de serviços de manutenção e conservação da rodovia BR-267/MG, com consequente cobrança administrativa do montante de R$ 269.091,02 (duzentos e sessenta e nove mil e noventa e um reais e dois centavos), decorrente de suposta redução superveniente dos preços de insumos asfálticos.</w:t>
      </w:r>
    </w:p>
    <w:p>
      <w:r>
        <w:t xml:space="preserve">Sustenta a apelante, em síntese, que a metodologia adotada pela autarquia para apuração do alegado desequilíbrio contratual não observa os requisitos previstos no art. 65, II, "d", da Lei nº 8.666/1993, tampouco demonstra a ocorrência de álea extraordinária apta a justificar o reequilíbrio econômico-financeiro em favor da Administração.</w:t>
      </w:r>
    </w:p>
    <w:p>
      <w:r>
        <w:t xml:space="preserve">Aduz que o DNIT promoveu mera revisão periódica de preços com base em médias de mercado e estimativas genéricas, sem considerar os custos efetivamente suportados durante a execução contratual, especialmente no período de escassez de insumos betuminosos, em que houve elevação real dos preços praticados.</w:t>
      </w:r>
    </w:p>
    <w:p>
      <w:r>
        <w:t xml:space="preserve">Argumenta, ainda, que a Resolução DNIT nº 13/2021 e a Instrução de Serviço/DG/DNIT nº 10/2019 não estabelecem parâmetros objetivos compatíveis com a teoria da imprevisão, além de permitirem, na prática, reajustes em periodicidade inferior a um ano, em afronta ao art. 2º, §1º, da Lei nº 10.192/2001.</w:t>
      </w:r>
    </w:p>
    <w:p>
      <w:r>
        <w:t xml:space="preserve">Defende que a documentação acostada aos autos evidencia inexistir débito em favor da Administração, sustentando, ao contrário, a existência de crédito em favor da contratada no importe de R$ 154.148,09 (cento e cinquenta e quatro mil cento e quarenta e oito reais e nove centavos).</w:t>
      </w:r>
    </w:p>
    <w:p>
      <w:r>
        <w:t xml:space="preserve">Alega a presença dos requisitos autorizadores da concessão do efeito suspensivo, ao fundamento de que a manutenção da exigibilidade da cobrança poderá ocasionar inscrição em dívida ativa, impedimento de emissão de certidões negativas, restrições à participação em licitações e graves prejuízos à continuidade de suas atividades empresariais.</w:t>
      </w:r>
    </w:p>
    <w:p>
      <w:r>
        <w:t xml:space="preserve">Ressalta, ademais, que este Tribunal, ao apreciar o Agravo de Instrumento nº 6004403-27.2025.4.06.0000, reconheceu a plausibilidade jurídica da pretensão deduzida, assentando a existência de controvérsia relevante acerca da metodologia utilizada pelo DNIT para apuração do alegado reequilíbrio econômico-financeiro negativo.</w:t>
      </w:r>
    </w:p>
    <w:p>
      <w:r>
        <w:t xml:space="preserve">Requer, assim, a atribuição de efeito suspensivo à apelação, nos termos do art. 1.012, §4º, do Código de Processo Civil, para restabelecimento da tutela anteriormente deferida e suspensão da exigibilidade da cobrança até o julgamento definitivo do recurso.</w:t>
      </w:r>
    </w:p>
    <w:p>
      <w:r>
        <w:t xml:space="preserve">As contrarrazões não foram apresentadas, embora ainda em curso o prazo legal para manifestação da parte apelada.</w:t>
      </w:r>
    </w:p>
    <w:p>
      <w:r>
        <w:t xml:space="preserve">É o relatório. Decido.</w:t>
      </w:r>
    </w:p>
    <w:p>
      <w:r>
        <w:t xml:space="preserve">Nos termos do art. 1.012, §4º, do Código de Processo Civil, a atribuição de efeito suspensivo à apelação exige demonstração da probabilidade de provimento do recurso ou, sendo relevante a fundamentação, risco de dano grave ou de difícil reparação decorrente do imediato cumprimento da sentença.</w:t>
      </w:r>
    </w:p>
    <w:p>
      <w:r>
        <w:t xml:space="preserve">No caso concreto, em análise própria da presente fase processual, não se vislumbram elementos suficientes ao deferimento da tutela recursal pretendida.</w:t>
      </w:r>
    </w:p>
    <w:p>
      <w:r>
        <w:t xml:space="preserve">Isso porque a sentença recorrida examinou de forma fundamentada a controvérsia posta nos autos, reconhecendo a legitimidade do procedimento administrativo adotado pelo DNIT para apuração do reequilíbrio econômico-financeiro do contrato, com base na Resolução DNIT nº 13/2021, editada em consonância com diretrizes técnicas estabelecidas pelo Tribunal de Contas da União.</w:t>
      </w:r>
    </w:p>
    <w:p>
      <w:r>
        <w:t xml:space="preserve">Conforme consignado pelo Juízo de origem, o equilíbrio econômico-financeiro dos contratos administrativos possui natureza bilateral, não se destinando exclusivamente à proteção do contratado, mas à preservação objetiva da equação econômico-financeira inicialmente pactuada, sendo juridicamente admissível a recomposição em favor da Administração Pública quando demonstrada redução superveniente relevante dos custos contratuais.</w:t>
      </w:r>
    </w:p>
    <w:p>
      <w:r>
        <w:t xml:space="preserve">Além disso, a sentença destacou que o procedimento administrativo impugnado foi instruído com dados oficiais da Agência Nacional do Petróleo - ANP, adotando critérios objetivos previamente regulamentados, sem que a parte autora tenha produzido prova técnica apta a infirmar a metodologia utilizada pela Administração ou demonstrar, de forma consistente, eventual ilegalidade na apuração promovida.</w:t>
      </w:r>
    </w:p>
    <w:p>
      <w:r>
        <w:t xml:space="preserve">Também não se evidencia, em juízo de cognição sumária, a alegada violação ao contraditório e à ampla defesa, tendo o magistrado expressamente consignado que houve observância do devido processo administrativo no procedimento instaurado pelo DNIT.</w:t>
      </w:r>
    </w:p>
    <w:p>
      <w:r>
        <w:t xml:space="preserve">Ressalte-se, ainda, que a tutela anteriormente deferida possuía natureza precária e foi concedida em momento processual anterior à instrução e ao julgamento do mérito, circunstância superada pela superveniência da sentença de improcedência, proferida após cognição exauriente da controvérsia.</w:t>
      </w:r>
    </w:p>
    <w:p>
      <w:r>
        <w:t xml:space="preserve">Nesse contexto, ausente demonstração inequívoca da probabilidade de provimento do recurso, mostra-se inviável o restabelecimento da tutela anteriormente revogada.</w:t>
      </w:r>
    </w:p>
    <w:p>
      <w:r>
        <w:t xml:space="preserve">Ademais, embora a apelante alegue risco decorrente da cobrança administrativa e eventual inscrição em cadastros restritivos, tais circunstâncias, por si sós, não autorizam a concessão da medida excepcional prevista no art. 1.012, §4º, do CPC, sobretudo diante da presunção de legitimidade do ato administrativo e da ausência, neste momento, de plausibilidade jurídica suficiente para afastar os fundamentos adotados na sentença recorrida.</w:t>
      </w:r>
    </w:p>
    <w:p>
      <w:r>
        <w:t xml:space="preserve">Ante o exposto, indefiro o pedido de atribuição de efeito suspensivo à apelação.</w:t>
      </w:r>
    </w:p>
    <w:p>
      <w:r>
        <w:t xml:space="preserve">Dê-se ciência ao juízo prolator da sentença apelada.</w:t>
      </w:r>
    </w:p>
    <w:p>
      <w:r>
        <w:t xml:space="preserve">Publique-se. Intimem-se.</w:t>
      </w:r>
    </w:p>
    <w:p>
      <w:r>
        <w:t xml:space="preserve">Belo Horizonte, data do sistema.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2026-06-05T09:07:29.010Z</dcterms:created>
  <dcterms:modified xsi:type="dcterms:W3CDTF">2026-06-05T09:07:29.010Z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