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w:t>
      </w:r>
    </w:p>
    <w:p>
      <w:r>
        <w:rPr>
          <w:i/>
          <w:iCs/>
          <w:color w:val="666666"/>
        </w:rPr>
        <w:t xml:space="preserve">LITISCONSÓRCIO PASSIVO NECESSÁRIO</w:t>
      </w:r>
    </w:p>
    <w:p/>
    <w:p>
      <w:r>
        <w:rPr>
          <w:b/>
          <w:bCs/>
        </w:rPr>
        <w:t xml:space="preserve">Recurso: </w:t>
      </w:r>
      <w:r>
        <w:t xml:space="preserve">6001482-90.2025.4.06.3817/TRF6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31/05/2026</w:t>
      </w:r>
    </w:p>
    <w:p/>
    <w:p>
      <w:r>
        <w:t xml:space="preserve">1. No evento 7, PET1 a apelante R. G. E. P. peticiona requerendo a desistência da impetração, com fulcro no art.</w:t>
      </w:r>
    </w:p>
    <w:p/>
    <w:p>
      <w:pPr>
        <w:pStyle w:val="Heading2"/>
      </w:pPr>
      <w:r>
        <w:rPr>
          <w:b/>
          <w:bCs/>
        </w:rPr>
        <w:t xml:space="preserve">Resumo</w:t>
      </w:r>
    </w:p>
    <w:p>
      <w:r>
        <w:t xml:space="preserve">Mandado de Segurança. O STF consolidou que o impetrante pode desistir da ação a qualquer tempo antes do término do julgamento, inclusive após sentença, sem necessidade de anuência da parte contrária (Tema 530). A desistência foi homologada e o processo extinto sem resolução de mérito.</w:t>
      </w:r>
    </w:p>
    <w:p/>
    <w:p>
      <w:pPr>
        <w:pStyle w:val="Heading2"/>
      </w:pPr>
      <w:r>
        <w:rPr>
          <w:b/>
          <w:bCs/>
        </w:rPr>
        <w:t xml:space="preserve">Ementa</w:t>
      </w:r>
    </w:p>
    <w:p>
      <w:r>
        <w:t xml:space="preserve">1. No evento 7, PET1 a apelante R. G. E. P. peticiona requerendo a desistência da impetração, com fulcro no art. 485, VIII, do CPC.</w:t>
      </w:r>
    </w:p>
    <w:p>
      <w:r>
        <w:t xml:space="preserve">2. O STF, no julgamento do Tema 530, firmou a tese jurídica de que é lícito ao impetrante desistir da ação de mandado de segurança, independentemente de aquiescência da autoridade apontada como coatora ou da entidade estatal interessada ou, ainda, quando for o caso, dos litisconsortes passivos necessários, a qualquer momento antes do término do julgamento, mesmo após eventual sentença concessiva do 'writ' constitucional, não se aplicando, em tal hipótese, a norma inscrita no art. 267, § 4º, do CPC/1973.</w:t>
      </w:r>
    </w:p>
    <w:p>
      <w:r>
        <w:t xml:space="preserve">3. Entendo que o Tema 530 aplica-se ao caso presente, ainda que se trate de sentença denegatória da ordem mandamental, consoantes julgados do STJ, in verbis:</w:t>
      </w:r>
    </w:p>
    <w:p>
      <w:r>
        <w:t xml:space="preserve">PROCESSUAL CIVIL. EMBARGOS DE DECLARAÇÃO NO AGRAVO INTERNO NO RECURSO ESPECIAL. DESISTÊNCIA DE MANDADO DE SEGURANÇA. APÓS JULGAMENTO DO AGRAVO INTERNO PELO ÓRGÃO COLEGIADO, PENDENTES DE JULGAMENTO OS EMBARGOS DE DECLARAÇÃO. POSSIBILIDADE. TEMA 530/STF. DESNECESSIDADE DE ANUÊNCIA DA PARTE EX ADVERSA. HOMOLOGAÇÃO.</w:t>
      </w:r>
    </w:p>
    <w:p>
      <w:r>
        <w:t xml:space="preserve">1. Trata-se, na origem, de Mandado de Segurança impetrado pelo ora desistente, com o objetivo de reconhecer como dedutíveis da base de cálculo do PIS e da Cofins as despesas de intermediação financeira relativas à Provisão para Créditos de Liquidação Duvidosa (PCLD), bem como do direito de compensar os indébitos tributários recolhidos nos últimos cinco anos anteriores à impetração.</w:t>
      </w:r>
    </w:p>
    <w:p>
      <w:r>
        <w:t xml:space="preserve">2. O impetrante ficou vencido tanto nas instâncias ordinárias quanto no Superior Tribunal de Justiça, considerando que a Segunda Turma manteve a decisão monocrática deste Relator pelo conhecimento parcial do Recurso Especial, com negativa de provimento.</w:t>
      </w:r>
    </w:p>
    <w:p>
      <w:r>
        <w:t xml:space="preserve">3. Sobreveio, então, o pedido de desistência da impetração.</w:t>
      </w:r>
    </w:p>
    <w:p>
      <w:r>
        <w:t xml:space="preserve">4. Após o reconhecimento da repercussão geral do tema 530, o Supremo Tribunal Federal, no RE 669.367/RJ, firmou tese vinculante segundo a qual a desistência do Mandado de Segurança é prerrogativa da parte impetrante; pode ser manifestada a qualquer tempo, mesmo após o julgamento de mérito, desde que antes do trânsito em julgado; e sua homologação não depende da anuência da parte contrária.</w:t>
      </w:r>
    </w:p>
    <w:p>
      <w:r>
        <w:t xml:space="preserve">5. No caso, preservada minha compreensão pessoal sobre o tema, deve ser homologada a desistência, pois o pedido foi formulado antes do trânsito em julgado do acórdão do Agravo Interno, o advogado subscritor do pedido tem poderes para desistir, e não é condição a anuência da parte ex adversa.</w:t>
      </w:r>
    </w:p>
    <w:p>
      <w:r>
        <w:t xml:space="preserve">6. Desistência homologada. Processo extinto sem resolução do mérito.</w:t>
      </w:r>
    </w:p>
    <w:p>
      <w:r>
        <w:t xml:space="preserve">(DESIS no REsp n. 2.047.909/SP, relator Ministro Herman Benjamin, Segunda Turma, julgado em 12/3/2024, DJe de 6/5/2024.)</w:t>
      </w:r>
    </w:p>
    <w:p>
      <w:r>
        <w:t xml:space="preserve">TRIBUTÁRIO. PROCESSUAL CIVIL. MANDADO DE SEGURANÇA. DESISTÊNCIA A QUALQUER TEMPO. POSSIBILIDADE.</w:t>
      </w:r>
    </w:p>
    <w:p>
      <w:r>
        <w:t xml:space="preserve">1. "É lícito ao impetrante desistir da ação de mandado de segurança, independentemente de aquiescência da autoridade apontada como coatora ou da entidade estatal interessada ou, ainda, quando for o caso, dos litisconsortes passivos necessários, a qualquer momento antes do término do julgamento, mesmo após eventual sentença concessiva do #writ# constitucional, não se aplicando, em tal hipótese, a norma inscrita no art. 267, § 4º, do CPC/1973" (Tema 530/STF).</w:t>
      </w:r>
    </w:p>
    <w:p>
      <w:r>
        <w:t xml:space="preserve">2. A homologação da desistência do mandamus é possível mesmo após o julgamento de recursos pelos órgãos colegiados do STJ. Nesse sentido: DESIS nos EDcl no AgInt no REsp n. 1.916.374/PR, relator Ministro Benedito Gonçalves, Primeira Turma, DJe de 27/10/2022; e AgRg nos EDcl nos EDcl na DESIS no RE nos EDcl no AgRg no REsp n. 999.447/DF, relatora Ministra Laurita Vaz, Corte Especial, DJe de 15/6/2015.</w:t>
      </w:r>
    </w:p>
    <w:p>
      <w:r>
        <w:t xml:space="preserve">3. Desistência homologada. Processo extinto sem resolução do mérito (art. 485, VIII, CPC), tornando sem efeito os acórdãos anteriormente proferidos por este Colegiado.</w:t>
      </w:r>
    </w:p>
    <w:p>
      <w:r>
        <w:t xml:space="preserve">(DESIS no REsp n. 1.691.561/PR, relator Ministro Sérgio Kukina, Primeira Turma, julgado em 3/10/2023, DJe de 6/10/2023.)</w:t>
      </w:r>
    </w:p>
    <w:p>
      <w:r>
        <w:t xml:space="preserve">4. Assim sendo, não evidenciando óbice à indigitada postulação, homologo a desistência da ação, sem resolução de mérito, nos termos do art. 485, VIII, do CPC. Prejudicada a apelação.</w:t>
      </w:r>
    </w:p>
    <w:p>
      <w:r>
        <w:t xml:space="preserve">5. Após o esgotamento das vias recursais, certifique-se o trânsito em julgado, proceda-se à baixa e remeta-se o feito ao juízo de origem.</w:t>
      </w:r>
    </w:p>
    <w:p>
      <w:r>
        <w:t xml:space="preserve">6. Intimem-se as partes.</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2026-06-05T11:57:40.326Z</dcterms:created>
  <dcterms:modified xsi:type="dcterms:W3CDTF">2026-06-05T11:57:40.326Z</dcterms:modified>
</cp:coreProperties>
</file>

<file path=docProps/custom.xml><?xml version="1.0" encoding="utf-8"?>
<Properties xmlns="http://schemas.openxmlformats.org/officeDocument/2006/custom-properties" xmlns:vt="http://schemas.openxmlformats.org/officeDocument/2006/docPropsVTypes"/>
</file>