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RRAg - 275-37.2015.5.05.0008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Alexandre De Souza Agra Belmonte</w:t>
      </w:r>
    </w:p>
    <w:p>
      <w:r>
        <w:rPr>
          <w:b/>
          <w:bCs/>
        </w:rPr>
        <w:t xml:space="preserve">Julgado em: </w:t>
      </w:r>
      <w:r>
        <w:t xml:space="preserve">20/05/2026</w:t>
      </w:r>
    </w:p>
    <w:p/>
    <w:p>
      <w:r>
        <w:t xml:space="preserve">I – AGRAVO DE INSTRUMENTO EM RECURSO DE REVISTA DA RÉ ATENTO BRASIL S.A. NÃO CABIMENTO.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em revista da Atento Brasil não foi conhecido por falta de cabimento, já que a homologação de renúncia aos direitos extingue o processo com coisa julgada, sendo desconstituível apenas por ação rescisória. No caso do Banco Itaucard, o agravo foi provido para permitir o processamento da revista sobre jornada bancária de seis horas, e a revista foi conhecida e provida por violação da Súmula 124 do TST, que exige aplicação do divisor 180 em vez de 150 para cálculo de horas extras.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– AGRAVO DE INSTRUMENTO EM RECURSO DE REVISTA DA RÉ ATENTO BRASIL S.A. NÃO CABIMENTO. INTERPOSIÇÃO CONTRA DECISÃO QUE CONFIRMA HOMOLOGAÇÃO DE RENÚNCIA À PRETENSÃO APÓS A INTERPOSIÇÃO DO RECURSO DE REVISTA.</w:t>
      </w:r>
    </w:p>
    <w:p>
      <w:r>
        <w:t xml:space="preserve">1. Nos termos do art. 897, "b", da CLT, o agravo de instrumento é cabível contra despacho que denega a interposição de recurso de revista, não sendo cabível, portanto, contra a decisão monocrática que confirma a homologação do pedido de renúncia. feito pelo .</w:t>
      </w:r>
    </w:p>
    <w:p>
      <w:r>
        <w:t xml:space="preserve">2. No caso, a autora, após a interposição do recurso de revista da Atento Brasil S/A, apresentou pedido de renúncia total aos direitos em que se funda ação exclusivamente em face da ATENTO BRASIL S.A, o que foi homologado pela autoridade regional e confirmado pela Presidência do TRT .</w:t>
      </w:r>
    </w:p>
    <w:p>
      <w:r>
        <w:t xml:space="preserve">3. Diante do não cabimento do agravo de instrumento, incide a tese jurídica fixada pelo Tribunal Pleno no item 2.2 do Tema 18 da Tabela de IRR: " O ato homologatório, uma vez praticado, acarreta a extinção do processo e, por ficção legal, resolve o mérito da causa (artigo 487, III, "c", do CPC), produz coisa julgada material, atinge a relação jurídica que deu origem ao processo, somente é passível de desconstituição por ação rescisória (CPC, arts. 525, § 15, 535, § 8º, e 966) ou ainda pela via da impugnação à execução (CPC, art. 525, §12) ou dos embargos à execução (CPC, art. 535, § 5º) e acarretará a perda do interesse jurídico no exame do recurso pendente de julgamento". Agravo de instrumento não conhecido.</w:t>
      </w:r>
    </w:p>
    <w:p>
      <w:r>
        <w:t xml:space="preserve">II — AGRAVO DE INSTRUMENTO EM RECURSO DE REVISTA DO BANCO ITAUCARD S.A. ACÓRDÃO REGIONAL PUBLICADO ANTES DA VIGÊNCIA DA LEI 13.467/2017. BANCÁRIA. JORNADA DE SEIS HORAS. DIVISOR DE HORAS EXTRAS. A fim de prevenir possível afronta ao art. 64 da CLT, determina-se o processamento do recurso de revista. Agravo de instrumento conhecido e provido.</w:t>
      </w:r>
    </w:p>
    <w:p>
      <w:r>
        <w:t xml:space="preserve">III — RECURSO DE REVISTA DO BANCO ITAUCARD S.A. ACÓRDÃO REGIONAL PUBLICADO ANTES DA VIGÊNCIA DA LEI 13.467/2017. BANCÁRIA. JORNADA DE SEIS HORAS. DIVISOR DE HORAS EXTRAS.</w:t>
      </w:r>
    </w:p>
    <w:p>
      <w:r>
        <w:t xml:space="preserve">1. Em razão do julgamento do TST-IRR 849-83.2013.5.03.0138, a redação da Súmula nº 124 foi alterada, passando a determinar aplicação do divisor 180 a todos os empregados bancários submetidos à jornada de seis horas prevista no caput do art. 224 da CLT, à exceção dos casos em que já houver decisão de mérito proferida por Turma desta Corte ou da SBDI-1, no período de 27/09/2012 a 21/11/2016.</w:t>
      </w:r>
    </w:p>
    <w:p>
      <w:r>
        <w:t xml:space="preserve">2. O caso dos autos não se encontra inserido na referida exceção, mas o TRT, em descompasso com a referida súmula, determinou a aplicação do divisor 150 para a apuração de horas extras de operadora de telemarketing, cuja condição de bancária fora reconhecida judicialmente. Recurso de revista conhecido por violação do art. 64 da CLT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2026-06-05T09:03:20.040Z</dcterms:created>
  <dcterms:modified xsi:type="dcterms:W3CDTF">2026-06-05T09:03:20.040Z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