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EMBARGOS DE TERCEIRO</w:t>
      </w:r>
    </w:p>
    <w:p>
      <w:r>
        <w:rPr>
          <w:i/>
          <w:iCs/>
          <w:color w:val="666666"/>
        </w:rPr>
        <w:t xml:space="preserve">SUCESSÃO TRABALHISTA</w:t>
      </w:r>
    </w:p>
    <w:p/>
    <w:p>
      <w:r>
        <w:rPr>
          <w:b/>
          <w:bCs/>
        </w:rPr>
        <w:t xml:space="preserve">Recurso: </w:t>
      </w:r>
      <w:r>
        <w:t xml:space="preserve">RR - 277-03.2017.5.05.0019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DIREITO CONSTITUCIONAL E DO TRABALHO. AGRAVO. TERCEIRIZAÇÃO DE SERVIÇOS. ATIVIDADE-FIM DE INSTITUIÇÃO BANCÁRIA TOMADORA DOS SERVIÇOS.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 recurso de revista em matéria trabalhista sobre terceirização de serviços em atividade-fim bancária. O TST, seguindo orientação do STF (Tema 725 de repercussão geral), superou a Súmula 331 e decidiu ser lícita a terceirização independentemente do objeto social, desde que haja responsabilidade subsidiária da contratante, afastando o vínculo de emprego direto com o tomador de serviços quando não configurada subordinação jurídica. Recurso provido para anular decisão que reconhecera o vínculo.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DIREITO CONSTITUCIONAL E DO TRABALHO. AGRAVO. TERCEIRIZAÇÃO DE SERVIÇOS. ATIVIDADE-FIM DE INSTITUIÇÃO BANCÁRIA TOMADORA DOS SERVIÇOS. LICITUDE. TEMA 725 DA REPERCUSSÃO GERAL DO STF. SUBORDINAÇÃO ESTRUTURAL. VÍNCULO DE EMPREGO NÃO CONFIGURADO. TRANSCENDÊNCIA JURÍDICA RECONHECIDA. A questão em discussão é objeto do Tema 725 da Tabela de Repercussão Geral do STF - Terceirização de serviços para a consecução da atividade-fim da empresa, o que impõe o reconhecimento da transcendência jurídica da matéria veiculada no recurso de revista (art. 896-A, § 1º, IV, da CLT). Agravo a que se dá provimento.</w:t>
      </w:r>
    </w:p>
    <w:p>
      <w:r>
        <w:t xml:space="preserve">II — DIREITO CONSTITUCIONAL E DO TRABALHO. AGRAVO DE INSTRUMENTO. PROVIMENTO. TERCEIRIZAÇÃO DE SERVIÇOS. ATIVIDADE-FIM DE INSTITUIÇÃO BANCÁRIA TOMADORA DOS SERVIÇOS. LICITUDE. TEMA 725 DA REPERCUSSÃO GERAL DO STF. SUBORDINAÇÃO ESTRUTURAL. VÍNCULO DE EMPREGO NÃO CONFIGURADO. Ante a potencial contrariedade à Súmula n. 331, I, do TST, por má aplicação, o agravo de instrumento deve ser provido para prosseguir na análise da matéria em recurso de revista. Agravo de instrumento conhecido e provido.</w:t>
      </w:r>
    </w:p>
    <w:p>
      <w:r>
        <w:t xml:space="preserve">III — DIREITO CONSTITUCIONAL E DO TRABALHO. RECURSO DE REVISTA. VIGÊNCIA DA LEI N. 13.467/17. TERCEIRIZAÇÃO DE SERVIÇOS. ATIVIDADE-FIM DE INSTITUIÇÃO BANCÁRIA TOMADORA DOS SERVIÇOS. LICITUDE. TEMA 725 DA REPERCUSSÃO GERAL DO STF. SUBORDINAÇÃO ESTRUTURAL. VÍNCULO DE EMPREGO NÃO CONFIGURADO.</w:t>
      </w:r>
    </w:p>
    <w:p>
      <w:r>
        <w:t xml:space="preserve">1. Recurso de revista interposto contra o acórdão que reconheceu a existência de relação de emprego diretamente com o réu Banco Itaucard S.A., e, por consequência, deferiu o enquadramento da autora como bancária.</w:t>
      </w:r>
    </w:p>
    <w:p>
      <w:r>
        <w:t xml:space="preserve">2. A questão em discussão é objeto do Tema 725 da Tabela de Repercussão Geral do STF - Terceirização de serviços para a consecução da atividade-fim da empresa.</w:t>
      </w:r>
    </w:p>
    <w:p>
      <w:r>
        <w:t xml:space="preserve">3. O Supremo Tribunal Federal firmou entendimento no julgamento da ADPF n. 324 e do RE n. 958.252, de repercussão geral, no sentido de que: " é lícita a terceirização ou qualquer outra forma de divisão do trabalho entre pessoas jurídicas distintas, independentemente do objeto social das empresas envolvidas, mantida a responsabilidade subsidiária da empresa contratante ".</w:t>
      </w:r>
    </w:p>
    <w:p>
      <w:r>
        <w:t xml:space="preserve">4. Assim, resta superado o entendimento cristalizado na Súmula n. 331, I, deste Tribunal Superior, no sentido de que a terceirização de atividade-fim, por si só, implica o reconhecimento do vínculo de emprego do trabalhador com o tomador de serviços.</w:t>
      </w:r>
    </w:p>
    <w:p>
      <w:r>
        <w:t xml:space="preserve">5. No caso em apreciação, o Tribunal Regional afirmou a ilicitude da terceirização, notadamente, em razão da prestação de serviços em área-fim da instituição financeira, deferindo à autora direitos e vantagens previstos em lei e em normas coletivas firmadas pelo tomador de serviços.</w:t>
      </w:r>
    </w:p>
    <w:p>
      <w:r>
        <w:t xml:space="preserve">6. Cumpre assinalar que a mera menção de inserção do empregado no processo produtivo da tomadora de serviços, doutrinariamente denominada subordinação estrutural, não tem o condão de evidenciar a indispensável subordinação jurídica, que demanda explicitação de que o trabalhador estava sujeito ao poder diretivo e disciplinar da contratante, o que não se assinalou na hipótese.</w:t>
      </w:r>
    </w:p>
    <w:p>
      <w:r>
        <w:t xml:space="preserve">7. Nesse contexto, é forçoso concluir que a Corte Regional, ao declarar ilícita a terceirização, notadamente, em razão do exercício de atividade-fim do tomador de serviços, bem como ao deferir o enquadramento da autora como bancária, decidiu em contrariedade a precedente de observância obrigatória firmado pelo Supremo Tribunal Federal, que declarou a inaplicabilidade do entendimento consolidado na Súmula n. 331, I, do TST, em tais hipóteses.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2026-06-05T11:50:44.540Z</dcterms:created>
  <dcterms:modified xsi:type="dcterms:W3CDTF">2026-06-05T11:50:44.540Z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