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EDCiv-RR - 476-79.2019.5.08.0016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Alberto Bastos Balazeiro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EMBARGOS DE DECLARAÇÃO. RECURSO DE REVISTA. HONORÁRIOS ADVOCATÍCIOS SUCUMBENCIAIS E ASSISTENCIAIS.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negou recurso de revista. O tribunal manteve a decisão, rejeitando a alegação de omissão nos pressupostos extrínsecos do recurso e reafirmando que o rito ordinário foi corretamente aplicado, sendo precluso questionar o procedimento em fase de embargos.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RECURSO DE REVISTA. HONORÁRIOS ADVOCATÍCIOS SUCUMBENCIAIS E ASSISTENCIAIS. CUMULAÇÃO. IMPOSSIBILDADE. OMISSÃO NÃO CARACTERIZADA.</w:t>
      </w:r>
    </w:p>
    <w:p>
      <w:r>
        <w:t xml:space="preserve">1. A pretensão de reforma do acórdão embargado, sem a demonstração de omissão, contradição, obscuridade ou manifesto equívoco no exame dos pressupostos extrínsecos do recurso, conforme aludido nos arts. 897-A da CLT e 1.022, I e II, do Código de Processo Civil, afigura-se incompatível com a natureza dos embargos de declaração.</w:t>
      </w:r>
    </w:p>
    <w:p>
      <w:r>
        <w:t xml:space="preserve">2. Ao contrário do afirmado pelo sindicato autor, não há indicação nos autos de que o feito tramita sob o rito sumaríssimo, razão pela qual o recurso de revista foi devidamente analisado considerando-se a regência do rito ordinário e, consequentemente, os ditames previstos no caput e nas alíneas do artigo 896 da CLT.</w:t>
      </w:r>
    </w:p>
    <w:p>
      <w:r>
        <w:t xml:space="preserve">3. Com efeito, eventual insurgência quanto à inadequação do rito processual adotado desde a instância ordinária, deveria ter sido alegada no momento oportuno, sob pena de preclusão. Embargos de declaração de que se conhece e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2026-06-05T10:31:10.470Z</dcterms:created>
  <dcterms:modified xsi:type="dcterms:W3CDTF">2026-06-05T10:31:10.470Z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