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EXTRAORDINÁRIO</w:t>
      </w:r>
    </w:p>
    <w:p/>
    <w:p>
      <w:r>
        <w:rPr>
          <w:b/>
          <w:bCs/>
        </w:rPr>
        <w:t xml:space="preserve">Recurso: </w:t>
      </w:r>
      <w:r>
        <w:t xml:space="preserve">RR - 11068-88.2020.5.15.0070</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SEGUNDO RECLAMADO. AGRAVO DE INSTRUMENTO. RECURSO EXTRAORDINÁRIO. JUÍZO DE RETRATAÇÃO (ART.</w:t>
      </w:r>
    </w:p>
    <w:p/>
    <w:p>
      <w:pPr>
        <w:pStyle w:val="Heading2"/>
      </w:pPr>
      <w:r>
        <w:rPr>
          <w:b/>
          <w:bCs/>
        </w:rPr>
        <w:t xml:space="preserve">Resumo</w:t>
      </w:r>
    </w:p>
    <w:p>
      <w:r>
        <w:t xml:space="preserve">Ente público acionado por débitos trabalhistas de contratada conseguiu reverter condenação subsidiária, pois o STF fixou que cabe ao trabalhador comprovar a falha na fiscalização contratual, não ao poder público comprovar que fiscalizou. Violação do direito de defesa caracterizada.</w:t>
      </w:r>
    </w:p>
    <w:p/>
    <w:p>
      <w:pPr>
        <w:pStyle w:val="Heading2"/>
      </w:pPr>
      <w:r>
        <w:rPr>
          <w:b/>
          <w:bCs/>
        </w:rPr>
        <w:t xml:space="preserve">Ementa</w:t>
      </w:r>
    </w:p>
    <w:p>
      <w:r>
        <w:t xml:space="preserve">I - AGRAVO DO SEGUNDO RECLAMADO. AGRAVO DE INSTRUMENTO. RECURSO EXTRAORDINÁRIO. JUÍZO DE RETRATAÇÃO (ART. 1.030, II, DO CPC). RESPONSABILIDADE SUBSIDIÁRIA. TOMADOR DOS SERVIÇOS. ENTE PÚBLICO. Esta Primeira Turma negou provimento ao agravo interno do ente público, ao fundamento de estar correta a decisão do e. Tribunal Regional, que atribuiu responsabilidade subsidiária ao tomador dos serviços, por não ter comprovado a fiscalização do cumprimento das obrigações contratuais e legais por parte da empresa contratada. Estando a decisão em dissonância do posicionamento firmado pelo Supremo Tribunal Federal, no exercício do juízo de retratação, nos moldes do art. 1.030, II, do CPC/2015, impõe-se o provimento ao agravo interno, a fim de viabilizar o reexame do agravo de instrumento. Agravo conhecido e provido.</w:t>
      </w:r>
    </w:p>
    <w:p>
      <w:r>
        <w:t xml:space="preserve">II — AGRAVO DE INSTRUMENTO EM RECURSO DE REVISTA DO SEGUNDO RECLAMADO. RESPONSABILIDADE SUBSIDIÁRIA. TOMADOR DOS SERVIÇOS. ENTE PÚBLICO. Considerando os fundamentos adotados para o provimento do agravo, impõe-se o provimento do agravo de instrumento para prosseguir no exame do recurso de revista, diante de possível ofensa ao artigo 5º, II, da Constituição Federal. Agravo de instrumento conhecido e provido.</w:t>
      </w:r>
    </w:p>
    <w:p>
      <w:r>
        <w:t xml:space="preserve">III — RECURSO DE REVISTA DO SEGUNDO RECLAMADO.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5º, II, da Constituição Federal.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2026-06-05T10:22:48.313Z</dcterms:created>
  <dcterms:modified xsi:type="dcterms:W3CDTF">2026-06-05T10:22:48.313Z</dcterms:modified>
</cp:coreProperties>
</file>

<file path=docProps/custom.xml><?xml version="1.0" encoding="utf-8"?>
<Properties xmlns="http://schemas.openxmlformats.org/officeDocument/2006/custom-properties" xmlns:vt="http://schemas.openxmlformats.org/officeDocument/2006/docPropsVTypes"/>
</file>