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RECURSO EXTRAORDINÁRIO</w:t>
      </w:r>
    </w:p>
    <w:p/>
    <w:p>
      <w:r>
        <w:rPr>
          <w:b/>
          <w:bCs/>
        </w:rPr>
        <w:t xml:space="preserve">Recurso: </w:t>
      </w:r>
      <w:r>
        <w:t xml:space="preserve">Ag-AIRR - 10631-31.2020.5.03.0054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Liana Chaib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AGRAVO INTERNO. AGRAVO DE INSTRUMENTO. RECURSO DE REVISTA. INTERPOSIÇÃO SOB A ÉGIDE DA LEI Nº 13.467/2017.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interno em agravo de instrumento contra decisão que negou recurso de revista relativo à execução de adicional de horas extras e reflexos em FGTS. O TST manteve a decisão por entender que não houve violação à coisa julgada, apenas interpretação do título executivo pela Corte Regional para avaliar seu cumprimento, situação que não configura afronta constitucional.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 INTERNO. AGRAVO DE INSTRUMENTO. RECURSO DE REVISTA. INTERPOSIÇÃO SOB A ÉGIDE DA LEI Nº 13.467/2017. EXECUÇÃO. "ADICIONAL DE HORAS EXTRAS". "REFLEXOS EM FGTS" - CÁLCULOS DE LIQUIDAÇÃO. ALEGAÇÃO DE VIOLAÇÃO À COISA JULGADA - INTERPRETAÇÃO DO TÍTULO EXECUTIVO . É entendimento assente nesta Corte que a caracterização de afronta ao artigo 5º, inciso XXXVI, da Constituição Federal, indicada em processo de execução, pressupõe inequívoca dissonância entre o comando da sentença exequenda e a decisão proferida na liquidação. Tal não se verifica quando o Tribunal Regional apenas se limita a interpretar o comando contido no título executivo judicial, para fins de avaliar o seu cumprimento, caso dos autos. Aplicação analógica da Orientação Jurisprudencial nº 123 da SBDI-2 do TST. Agravo interno não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2026-06-05T09:00:22.388Z</dcterms:created>
  <dcterms:modified xsi:type="dcterms:W3CDTF">2026-06-05T09:00:22.388Z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