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REGIMENTAL</w:t>
      </w:r>
    </w:p>
    <w:p/>
    <w:p>
      <w:r>
        <w:rPr>
          <w:b/>
          <w:bCs/>
        </w:rPr>
        <w:t xml:space="preserve">Recurso: </w:t>
      </w:r>
      <w:r>
        <w:t xml:space="preserve">Ag-AIRR - 16074-62.2016.5.16.0014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INTERNO. AGRAVO DE INSTRUMENTO EM RECURSO DE REVISTA. ACÓRDÃO REGIONAL PUBLICADO NA VIGÊNCIA DA LEI Nº 13.467/2017 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em recurso de revista negado por desatendimento aos requisitos formais de admissibilidade. A reclamada não identificou adequadamente os trechos da decisão recorrida nem vinculou sua argumentação aos pontos específicos que pretende reformar, impossibilitando o confronto analítico exigido pela CLT. Inviabilidade do recurso mantida.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INTERNO. AGRAVO DE INSTRUMENTO EM RECURSO DE REVISTA. ACÓRDÃO REGIONAL PUBLICADO NA VIGÊNCIA DA LEI Nº 13.467/2017 . RESPONSABILIDADE CIVIL - ACIDENTE DO TRABALHO - DANOS MORAIS E MATERIAIS EM RICOCHETE . DESATENDIMENTO DO REQUISITO DO ARTIGO 896, § 1º-A, I E III, DA CLT. INVIABILIDADE. No presente caso , a partir da análise das razões do recurso de revista interposto, verifica-se que a parte reclamada realizou a transcrição de forma indevida, no início das razões, sem identificar a motivação exposta no capítulo relativo a cada tema que pretende a reforma. Observa-se, ainda, que não há qualquer destaque ou realce do trecho com a tese que defende violar o ordenamento jurídico. Nesse passo, ao não indicar especificamente os trechos da decisão recorrida em que se encontram analisadas as matérias objeto do recurso de revista, que demonstra a afronta ao dispositivo de lei que invoca em seu recurso, a agravante inviabiliza o confronto analítico entre a decisão recorrida e as alegações formuladas no recurso, de modo que não atende ao disposto no artigo 896, § 1º-A, I e III, da CLT, acrescido pela Lei nº 13.015/2014. Precedentes . Agravo interno a que se nega provimento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2026-06-05T09:02:28.049Z</dcterms:created>
  <dcterms:modified xsi:type="dcterms:W3CDTF">2026-06-05T09:02:28.049Z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