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INDENIZAÇÃO POR DANO MORAL</w:t>
      </w:r>
    </w:p>
    <w:p>
      <w:r>
        <w:rPr>
          <w:i/>
          <w:iCs/>
          <w:color w:val="666666"/>
        </w:rPr>
        <w:t xml:space="preserve">CONTRAÇÃO DE DOENÇA PROFISSIONAL</w:t>
      </w:r>
    </w:p>
    <w:p/>
    <w:p>
      <w:r>
        <w:rPr>
          <w:b/>
          <w:bCs/>
        </w:rPr>
        <w:t xml:space="preserve">Recurso: </w:t>
      </w:r>
      <w:r>
        <w:t xml:space="preserve">RRAg - 1000153-57.2019.5.02.0264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– AGRAVO DE INSTRUMENTO EM RECURSO DE REVISTA INTERPOSTO PELA RECLAMADA. REGÊNCIA PELA LEI Nº 13.467/2017.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 Recurso de Revista em doença ocupacional. Mantida a condenação ao pagamento de indenização por dano moral (R$ 17.285,20) e pensão vitalícia à trabalhadora, sendo afastada a limitação temporal pretendida pela reclamada. Quanto à correção monetária e juros de mora, aplicar-se-ão: IPCA-E pré-judicial com juros legais; SELIC de ajuizamento até 29/8/2024; e IPCA com juros de mora (SELIC menos IPCA) a partir de 30/8/2024.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– AGRAVO DE INSTRUMENTO EM RECURSO DE REVISTA INTERPOSTO PELA RECLAMADA. REGÊNCIA PELA LEI Nº 13.467/2017. DOENÇA OCUPACIONAL. INDENIZAÇÃO POR DANO MORAL E DANO MATERIAL. PENSÃO VITALÍCIA. TRANSCENDÊNCIA NÃO RECONHECIDA. A jurisprudência desta Corte é no sentido de que, constatada a doença ocupacional, faz jus o trabalhador à indenização por danos morais in re ipsa . Portanto, nada a reparar quanto à configuração do dano moral e a consequente indenização deferida à autora, em razão de o dano moral ter se originado na redução da capacidade laborativa da empregada. Já que no tange à limitação temporal do recebimento da pensão, o art. 950 do Código Civil não traz qualquer limitação temporal ou etária ao recebimento da pensão. Dessa forma, a pensão deve ser paga enquanto perdurar a situação de fato que ensejou a condenação da empresa. A trabalhadora, como vítima de lesões permanentes, ainda que parciais, tem direito à pensão mensal "vitalícia", sem a limitação requerida pela parte. Agravo de instrumento de que se conhece e a que se nega provimento. FASE DE CONHECIMENTO. CORREÇÃO MONETÁRIA E JUROS DE MORA. ÍNDICE APLICÁVEL. TRANSCENDÊNCIA POLÍTICA RECONHECIDA. Constatada a possível violação do art. 879, § 7º, da CLT , merece provimento o agravo de instrumento para determinar o processamento do recurso de revista. Agravo de instrumento a que se dá provimento.</w:t>
      </w:r>
    </w:p>
    <w:p>
      <w:r>
        <w:t xml:space="preserve">II — RECURSO DE REVISTA INTERPOSTO PELA RECLAMADA. REGÊNCIA PELA LEI Nº 13.467/2017. INDENIZAÇÃO POR DANO MORAL. VALOR ARBITRADO. TRANSCENDÊNCIA NÃO RECONHECIDA. O Regional manteve a condenação ao pagamento de indenização por danos morais, no valor de R$ 17.285,20, ratificando o quantum indenizatório fixado na origem por considerá-lo adequado aos parâmetros do art. 223-G da CLT. A jurisprudência desta Corte Superior é firme no sentido de que a alteração do valor fixado a título de indenização por dano moral condiciona-se à constatação de que o valor arbitrado afronta a razoabilidade e proporcionalidade, por revelar-se excessivamente irrisório ou exorbitante. Ocorre, que em situações semelhantes à dos autos, esta Corte tem entendido que o quantum fixado mostra-se proporcional ao dano sofrido pela empregada. Precedentes. Recurso de revista de que não se conhece. FASE DE CONHECIMENTO. CORREÇÃO MONETÁRIA E JUROS DE MORA. ÍNDICE APLICÁVEL. TRANSCENDÊNCIA POLÍTICA RECONHECIDA. O STF, no julgamento das Ações Declaratórias de Constitucionalidade nº 58 e 59 e Ações Diretas de Inconstitucionalidade nº 5867 e 6021, firmou a tese de que, para a atualização dos débitos trabalhistas, deverão ser observados os índices de correção monetária e de juros vigentes para as condenações cíveis em geral, quais sejam, o Índice Nacional de Preço ao Consumidor Amplo Especial (IPCA-E) na fase pré-judicial, acrescido dos juros legais previstos no art. 39, caput , da Lei nº 8.177/1991 e, a partir do ajuizamento da ação, a taxa SELIC. Ademais, cumpre consignar que a Lei 14.905, de 28 de junho de 2024 alterou a Lei nº 10.406, de 10 de janeiro de 2002 (Código Civil), para dispor sobre critérios de atualização monetária e juros de mora. Sendo assim, determina-se a aplicação do IPCA-E na fase pré-judicial, acrescido dos juros legais previstos no caput do art. 39 da Lei nº 8.177/1991; a partir do ajuizamento da ação, até 29/8/2024, a incidência da taxa SELIC (que engloba juros de mora e correção monetária); a partir de 30/8/2024 no cálculo da atualização monetária será utilizado o IPCA (art. 389, parágrafo único do Código Civil), sendo que a partir desta data, os juros de mora corresponderão ao resultado da subtração SELIC menos IPCA (art. 406, parágrafo único do Código Civil), com a possibilidade de não incidência (taxa zero), nos termos do § 3º do art. 406 do Código Civil, observando-se a validade dos valores eventualmente já pagos, independentemente do índice aplicado. Recurso de revista de que se conhece e a que se dá provimento.</w:t>
      </w:r>
    </w:p>
    <w:p>
      <w:r>
        <w:t xml:space="preserve">III — RECURSO DE REVISTA INTERPOSTO PELA RECLAMANTE. REGÊNCIA PELA LEI Nº 13.467/2017. HONORÁRIOS ADVOCATÍCIOS. NÃO ATENDIMENTO DA NORMA DO INCISO I DO § 1º-A DO ART. 896 DA CLT. TRANSCRIÇÃO INTEGRAL DO ACÓRDÃO RECORRIDO. TRANSCENDÊNCIA NÃO RECONHECIDA. Nos termos dos incisos I e III do § 1º-A do art. 896 da CLT, ao interpor recurso de revista sob a égide da Lei nº 13.015/2014, incumbe à parte recorrente indicar, de forma precisa, o trecho do acórdão regional que consubstancia o prequestionamento da controvérsia, bem como promover o necessário confronto analítico entre as teses jurídicas contrapostas, sob pena de não conhecimento do apelo. No caso dos autos , porém, a parte, no tópico referente aos honorários advocatícios , transcreveu integralmente o tópico impugnado, sem destacar o ponto controvertido, como se verifica às fls. 600/605. HONORÁRIOS PERICIAIS. DIVERGÊNCIA JURISPRUDENCIAL. AUSÊNCIA DE COTEJO ANALÍTICO. ART. 896, § 8º, DA CLT. TRANSCENDÊNCIA NÃO RECONHECIDA. Uma vez fundamentado o recurso de revista apenas em divergência jurisprudencial é necessário que a parte mencione as circunstâncias que identifiquem ou assemelhem os casos confrontados. Todavia, a parte recorrente não logrou demonstrar o pretendido dissenso interpretativo, pois se limitou a transcrever os arestos paradigmas, deixando de realizar o indispensável cotejo analítico entre eles e a decisão recorrida, descumprindo os requisitos previstos no art. 896, § 8º, da CLT. Recurso de revista de que não se conhece.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2026-06-05T10:22:35.299Z</dcterms:created>
  <dcterms:modified xsi:type="dcterms:W3CDTF">2026-06-05T10:22:35.299Z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