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INSTRUÇÃO NORMATIVA TST Nº 06/96</w:t>
      </w:r>
    </w:p>
    <w:p/>
    <w:p>
      <w:r>
        <w:rPr>
          <w:b/>
          <w:bCs/>
        </w:rPr>
        <w:t xml:space="preserve">Recurso: </w:t>
      </w:r>
      <w:r>
        <w:t xml:space="preserve">Ag-AIRR - 277-80.2022.5.11.0012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EM AGRAVO DE INSTRUMENTO EM RECURSO DE REVISTA DO AUTOR ( SINDICATO DOS ESTIVADORES DE MANAUS 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Sindicato dos Estivadores de Manaus interpôs agravo em agravo de instrumento contra decisão que negou seguimento a recurso de revista em ação civil pública sobre exclusividade na contratação de trabalhadores portuários. O tribunal manteve a denegação por falta de transcendência e identidade com litígio anterior (coisa julgada material), negando provimento ao agravo.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EM AGRAVO DE INSTRUMENTO EM RECURSO DE REVISTA DO AUTOR ( SINDICATO DOS ESTIVADORES DE MANAUS ). AÇÃO CIVIL PÚBLICA. REGÊNCIA PELA LEI Nº 13.467/2017 - TRABALHO PORTUÁRIO. EXCLUSIVIDADE DA CONTRATAÇÃO DE TRABALHADORES DO OGMO. COISA JULGADA MATERIAL. IDENTIDADE ENTRE OS ELEMENTOS DA AÇÃO. LITISPENDÊNCIA. CONFIGURAÇÃO. ART. 896, "A" E "C", DA CLT E SÚMULA 337, I, "A", E IV, "B", DO TST. TRANSCENDÊNCIA NÃO RECONHECIDA. Não demonstra nenhuma das hipóteses previstas no art. 896 da CLT, é inviável o processamento do recurso de revista. Mantida a decisão monocrática que denegou seguimento ao agravo de instrumento, com acréscimo de fundamentos. Agravo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2026-06-05T09:03:27.234Z</dcterms:created>
  <dcterms:modified xsi:type="dcterms:W3CDTF">2026-06-05T09:03:27.234Z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