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RRAg - 12274-32.2015.5.15.0097</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19/05/2026</w:t>
      </w:r>
    </w:p>
    <w:p/>
    <w:p>
      <w:r>
        <w:t xml:space="preserve">I – AGRAVO DE INSTRUMENTO EM RECURSO DE REVISTA – LEI Nº 13.467/2017 – INTERVALO INTRAJORNADA.</w:t>
      </w:r>
    </w:p>
    <w:p/>
    <w:p>
      <w:pPr>
        <w:pStyle w:val="Heading2"/>
      </w:pPr>
      <w:r>
        <w:rPr>
          <w:b/>
          <w:bCs/>
        </w:rPr>
        <w:t xml:space="preserve">Resumo</w:t>
      </w:r>
    </w:p>
    <w:p>
      <w:r>
        <w:t xml:space="preserve">Recurso de revista sobre redução de intervalo intrajornada por norma coletiva. O TST reconheceu transcendência e aplicou decisão vinculante do STF (Tema 1046) que prevalece negociado sobre legislado em direitos transacionáveis, validando redução para 45 minutos. Também foram atualizados índices de correção monetária e juros conforme Lei nº 14.905/2024.</w:t>
      </w:r>
    </w:p>
    <w:p/>
    <w:p>
      <w:pPr>
        <w:pStyle w:val="Heading2"/>
      </w:pPr>
      <w:r>
        <w:rPr>
          <w:b/>
          <w:bCs/>
        </w:rPr>
        <w:t xml:space="preserve">Ementa</w:t>
      </w:r>
    </w:p>
    <w:p>
      <w:r>
        <w:t xml:space="preserve">I – AGRAVO DE INSTRUMENTO EM RECURSO DE REVISTA – LEI Nº 13.467/2017 – INTERVALO INTRAJORNADA. REDUÇÃO POR MEIO DE NORMA COLETIVA. VALIDADE. Constatada possível violação do inciso XXVI do art. 7º da Constituição, dá-se provimento ao agravo de instrumento para determinar o processamento do recurso de revista. Agravo de instrumento a que se dá provimento, no particular. MINUTOS RESIDUAIS. CONTRATO ENCERRADO ANTES DA VIGÊNCIA DA LEI Nº 13.467/2017. SÚMULA 333 DO TST – ADICIONAL DE INSALUBRIDADE. ART. 896, "A" E "C", DA CLT. TRANSCENDÊNCIA NÃO RECONHECIDA. Nega-se provimento ao agravo de instrumento quando não demonstrada a viabilidade do processamento do recurso de revista. Agravo de instrumento a que se nega provimento.</w:t>
      </w:r>
    </w:p>
    <w:p>
      <w:r>
        <w:t xml:space="preserve">II — RECURSO DE REVISTA – LEI Nº 13.467/2017 – INTERVALO INTRAJORNADA. REDUÇÃO POR MEIO DE NORMA COLETIVA. VALIDADE. TRANSCENDÊNCIA RECONHECIDA. Em sessão realizada em 02/06/2022, o Plenário do Supremo Tribunal Federal apreciou o Tema 1046 do ementário de repercussão geral e deu provimento ao recurso extraordinário (ARE nº 1.121.633/GO) para estabelecer, como regra geral, a prevalência do negociado sobre o legislado, em prestígio ao princípio da autonomia coletiva, consagrado no art. 7º, XXVI, da Constituição da República, a afastar a norma coletiva apenas e tão somente nas situações em que essa negociação vilipendie direito indisponível do trabalhador.</w:t>
      </w:r>
    </w:p>
    <w:p>
      <w:r>
        <w:t xml:space="preserve">Trata-se de decisão com efeito vinculante e eficácia erga omnes e, portanto, obriga todos os órgãos e instâncias do Poder Judiciário. A redução do intervalo intrajornada pode ser transacionada pelos atores coletivos pactuantes, na linha da mais recente jurisprudência do STF. No particular, não se discute direito absolutamente indisponível do trabalhador, uma vez que a alteração se deu apenas quanto ao tempo de intervalo, reduzido para 45 minutos, mantido o direito à fruição do intervalo intrajornada. Desse modo, deve prevalecer a cláusula coletiva negociada. Tal diretriz foi dada pelo STF na fixação do tema 1046 de repercussão geral, de modo que está superado o item II da Súmula 437 do TST no tocante à invalidade da norma coletiva que pactua a redução do intervalo intrajornada. Julgados desta Corte Superior. Recurso de revista de que se conhece e a que se dá provimento. FASE DE CONHECIMENTO. CORREÇÃO MONETÁRIA E JUROS DE MORA. ÍNDICES APLICÁVEIS. TRANSCENDÊNCIA RECONHECIDA. O STF, no julgamento das Ações Declaratórias de Constitucionalidade nº 58 e 59 e Ações Diretas de Inconstitucionalidade nº 5867 e 6021, firmou a tese de que, para a atualização dos débitos trabalhistas, deverão ser observados os índices de correção monetária e de juros vigentes para as condenações cíveis em geral, quais sejam, o Índice Nacional de Preço ao Consumidor Amplo Especial (IPCA-E) na fase pré-judicial, acrescido dos juros legais previstos no art. 39, caput , da Lei nº 8.177/1991 e, a partir do ajuizamento da ação, a taxa SELIC. Considerando que o STF determinou a incidência de tais índices até o advento de solução legislativa, devem ser observados, a partir de 30/8/2024, os novos critérios de atualização monetária e de juros de mora instituídos pela Lei nº 14.905/2024 . Recurso de revista de que se conhece e a que se dá parcial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2026-06-05T10:28:14.299Z</dcterms:created>
  <dcterms:modified xsi:type="dcterms:W3CDTF">2026-06-05T10:28:14.299Z</dcterms:modified>
</cp:coreProperties>
</file>

<file path=docProps/custom.xml><?xml version="1.0" encoding="utf-8"?>
<Properties xmlns="http://schemas.openxmlformats.org/officeDocument/2006/custom-properties" xmlns:vt="http://schemas.openxmlformats.org/officeDocument/2006/docPropsVTypes"/>
</file>