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- 100107-50.2016.5.01.0483</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DE INSTRUMENTO EM RECURSO DE REVISTA DO SEGUNDO RECLAMADO. JUÍZO DE RETRATAÇÃO (ART.</w:t>
      </w:r>
    </w:p>
    <w:p/>
    <w:p>
      <w:pPr>
        <w:pStyle w:val="Heading2"/>
      </w:pPr>
      <w:r>
        <w:rPr>
          <w:b/>
          <w:bCs/>
        </w:rPr>
        <w:t xml:space="preserve">Resumo</w:t>
      </w:r>
    </w:p>
    <w:p>
      <w:r>
        <w:t xml:space="preserve">Ente público foi condenado à responsabilidade subsidiária por inadimplemento trabalhista da contratada, mas o TST reformou a decisão aplicando o Tema 1.118 do STF, que transfere à parte autora o ônus de comprovar falha na fiscalização. Sem tal comprovação, o tomador dos serviços não responde subsidiariamente, conforme Lei 8.666/93.</w:t>
      </w:r>
    </w:p>
    <w:p/>
    <w:p>
      <w:pPr>
        <w:pStyle w:val="Heading2"/>
      </w:pPr>
      <w:r>
        <w:rPr>
          <w:b/>
          <w:bCs/>
        </w:rPr>
        <w:t xml:space="preserve">Ementa</w:t>
      </w:r>
    </w:p>
    <w:p>
      <w:r>
        <w:t xml:space="preserve">I - AGRAVO DE INSTRUMENTO EM RECURSO DE REVISTA DO SEGUNDO RECLAMADO. JUÍZO DE RETRATAÇÃO (ART. 1.030, II, DO CPC). RESPONSABILIDADE SUBSIDIÁRIA. TOMADOR DOS SERVIÇOS. ENTE PÚBLICO.</w:t>
      </w:r>
    </w:p>
    <w:p>
      <w:r>
        <w:t xml:space="preserve">1. Esta Primeira Turma negou provimento ao de instrumento do segundo reclamado -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a Petrobras apenas anexou o contrato de prestação de serviços com a primeira reclamada (Id. dae783d), todavia não juntou qualquer documento hábil a comprovar que tenha exercido efetiva e eficaz fiscalização daquele contrato".</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recurso de revista. Agravo de instrumento conhecido e provido.</w:t>
      </w:r>
    </w:p>
    <w:p>
      <w:r>
        <w:t xml:space="preserve">II — RECURSO DE REVISTA DO SEGUNDO RECLAMADO. RESPONSABILIDADE SUBSIDIÁRIA. TOMADOR DOS SERVIÇOS. ENTE PÚBLICO. MERO INADIMPLEMENTO. ÔNUS DA PROVA. TEMA 1.118 DA TABELA DE REPERCUSSÃO GERAL DO STF.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2026-06-05T09:02:36.011Z</dcterms:created>
  <dcterms:modified xsi:type="dcterms:W3CDTF">2026-06-05T09:02:36.011Z</dcterms:modified>
</cp:coreProperties>
</file>

<file path=docProps/custom.xml><?xml version="1.0" encoding="utf-8"?>
<Properties xmlns="http://schemas.openxmlformats.org/officeDocument/2006/custom-properties" xmlns:vt="http://schemas.openxmlformats.org/officeDocument/2006/docPropsVTypes"/>
</file>