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OFENSA À LEI</w:t>
      </w:r>
    </w:p>
    <w:p/>
    <w:p>
      <w:r>
        <w:rPr>
          <w:b/>
          <w:bCs/>
        </w:rPr>
        <w:t xml:space="preserve">Recurso: </w:t>
      </w:r>
      <w:r>
        <w:t xml:space="preserve">Ag-RRAg - 101282-98.2016.5.01.0024</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07/05/2026</w:t>
      </w:r>
    </w:p>
    <w:p/>
    <w:p>
      <w:r>
        <w:t xml:space="preserve">AGRAVO INTERNO DA RECLAMANTE EM RECURSO DE REVISTA DA PARTE RÉ. LEI Nº 13.467/2017.</w:t>
      </w:r>
    </w:p>
    <w:p/>
    <w:p>
      <w:pPr>
        <w:pStyle w:val="Heading2"/>
      </w:pPr>
      <w:r>
        <w:rPr>
          <w:b/>
          <w:bCs/>
        </w:rPr>
        <w:t xml:space="preserve">Resumo</w:t>
      </w:r>
    </w:p>
    <w:p>
      <w:r>
        <w:t xml:space="preserve">Agravo interno contra decisão que inverteu o ônus probatório na responsabilidade subsidiária da Administração Pública por débitos trabalhistas de prestadora de serviços. O STF fixou tese (Tema 1.118) estabelecendo que cabe ao autor comprovar conduta culposa objetiva do ente público, sem presunção de culpa, sendo configurada negligência apenas quando a Administração permanece inerte após notificação formal do descumprimento trabalhista pela contratada. Mantém-se a condenação subsidiária apenas com prova inequívoca de falha na fiscalização do contrato.</w:t>
      </w:r>
    </w:p>
    <w:p/>
    <w:p>
      <w:pPr>
        <w:pStyle w:val="Heading2"/>
      </w:pPr>
      <w:r>
        <w:rPr>
          <w:b/>
          <w:bCs/>
        </w:rPr>
        <w:t xml:space="preserve">Ementa</w:t>
      </w:r>
    </w:p>
    <w:p>
      <w:r>
        <w:t xml:space="preserve">AGRAVO INTERNO DA RECLAMANTE EM RECURSO DE REVISTA DA PARTE RÉ. LEI Nº 13.467/2017. TEMA Nº 1.118 DE REPERCUSSÃO GERAL DO STF. RESPONSABILIDADE SUBSIDIÁRIA. ADMINISTRAÇÃO PÚBLICA. CONDUTA CULPOSA ATRIBUÍDA AO ENTE PÚBLICO. ÔNUS DA PROVA. TRANSCENDÊNCIA POLÍTICA RECONHECIDA. Após o julgamento do Tema nº 246 pelo Supremo Tribunal Federal, esta Corte Superior manteve o posicionamento que, mediante a inversão do ônus probatório, caberia ao tomador de serviço demonstrar que fiscalizou de forma adequada o contrato pactuado com a prestadora, como fato impeditivo da pretensão abordada pelo autor, com base no dever ordinário que lhe é atribuído e nos princípios da aptidão e distribuição dinâmica da prova. Contudo, essa não foi a compreensão adotada pelo STF que, novamente ao reconhecer a repercussão geral da matéria erigida à sua cognição no julgamento do RE 1298647, editou a seguinte tese (Tema nº 1.118): " 1. Não há responsabilidade subsidiária da Administração Pública por encargos trabalhistas gerados pelo inadimplemento de empresa prestadora de serviços contratada, se amparada exclusivamente na premissa da inversão do ônus da prova ,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p>
      <w:r>
        <w:t xml:space="preserve">3.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 ( g.n ). Logo, a questão referente ao ônus da prova da culpa in vigilando atribuída ao ente público, restrita às obrigações trabalhistas advindas dos contratos de terceirização (sem abranger as parcelas de natureza previdenciária e as alusivas às condições de segurança, higiene e salubridade dos trabalhadores, conforme expressamente mencionado no julgamento em análise), não merece maiores digressões, pois se encontra agora estabilizada na jurisprudência da Suprema Corte. Ficou definido que, em razão da presunção de legalidade e validade dos atos administrativos, caberá ao autor da ação o encargo de demonstrar, objetivamente, a conduta culposa da entidade pública, sem que possa haver a possibilidade de utilização do mecanismo de inversão do ônus probatório como premissa para a responsabilização subsidiária da Administração Pública, na modalidade da culpa presumida. Em síntese, a ratio decidendi contida no precedente supracitado revela que, para subsistir a condenação subsidiária nas relações de terceirização de serviços, deverá haver prova inequívoca da falha na execução e fiscalização dos contratos administrativos, a qual, por sua vez, estará configurada nas seguintes hipóteses: I) de plano , quando evidenciado o comportamento negligente atribuído ao ente público, consubstanciado na adoção de postura inerte após a notificação formal (conhecimento prévio), enviada por qualquer meio idôneo, de que a empresa contratada está a descumprir suas obrigações trabalhistas – culpa in vigilando ; ou II) em se tratando de qualquer outra conduta, omissiva ou comissiva da Administração, mediante a demonstração efetiva de que esta concorreu diretamente para a ocorrência do dano (nexo de causalidade), ora suportado pelo interessado - além da culpa in vigilando , estaria também albergada, aqui, a eventual culpa in eligendo , mormente considerando as obrigações elencadas no item "4" da tese em exame. Na hipótese , extrai-se do acórdão regional que não foi apontada, efetivamente, qualquer conduta ou omissão atribuída ao ente público contratante que tenha diretamente contribuído para a ocorrência do dano e o Tribunal Regional lhe imputou a responsabilidade mediante aplicação equivocada das regras de distribuição do ônus probatório. Agravo interno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2026-06-05T10:22:46.078Z</dcterms:created>
  <dcterms:modified xsi:type="dcterms:W3CDTF">2026-06-05T10:22:46.078Z</dcterms:modified>
</cp:coreProperties>
</file>

<file path=docProps/custom.xml><?xml version="1.0" encoding="utf-8"?>
<Properties xmlns="http://schemas.openxmlformats.org/officeDocument/2006/custom-properties" xmlns:vt="http://schemas.openxmlformats.org/officeDocument/2006/docPropsVTypes"/>
</file>