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RECURSO DE REVISTA</w:t>
      </w:r>
    </w:p>
    <w:p/>
    <w:p>
      <w:r>
        <w:rPr>
          <w:b/>
          <w:bCs/>
        </w:rPr>
        <w:t xml:space="preserve">Recurso: </w:t>
      </w:r>
      <w:r>
        <w:t xml:space="preserve">Ag-AIRR - 10494-38.2019.5.03.0069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Alexandre De Souza Agra Belmonte</w:t>
      </w:r>
    </w:p>
    <w:p>
      <w:r>
        <w:rPr>
          <w:b/>
          <w:bCs/>
        </w:rPr>
        <w:t xml:space="preserve">Julgado em: </w:t>
      </w:r>
      <w:r>
        <w:t xml:space="preserve">20/05/2026</w:t>
      </w:r>
    </w:p>
    <w:p/>
    <w:p>
      <w:r>
        <w:t xml:space="preserve">AGRAVO EM AGRAVO DE INSTRUMENTO EM RECURSO DE REVISTA. CERCEAMENTO DE DEFESA. ILEGITIMIDADE ATIVA DO SINDICATO.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em agravo de instrumento em recurso de revista sobre legitimidade ativa de sindicato em substituição processual. O tribunal manteve a decisão monocrática que não reconheceu transcendência da questão, inviabilizando o prosseguimento do agravo de instrumento. Agravo conhecido e desprovido.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EM AGRAVO DE INSTRUMENTO EM RECURSO DE REVISTA. CERCEAMENTO DE DEFESA. ILEGITIMIDADE ATIVA DO SINDICATO. SUBSTITUIÇÃO PROCESSUAL. INOBSERVÂNCIA DO ART. 896, § 1º-A, I, DA CLT. TRANSCENDÊNCIA. EXAME PREJUDICADO. Não desconstituídos os fundamentos da decisão monocrática, não prospera o agravo destinado a viabilizar o trânsito do agravo de instrumento. Agravo conhecido e desprovido.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2026-06-05T09:02:07.145Z</dcterms:created>
  <dcterms:modified xsi:type="dcterms:W3CDTF">2026-06-05T09:02:07.145Z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