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OFENSA À LEI</w:t>
      </w:r>
    </w:p>
    <w:p/>
    <w:p>
      <w:r>
        <w:rPr>
          <w:b/>
          <w:bCs/>
        </w:rPr>
        <w:t xml:space="preserve">Recurso: </w:t>
      </w:r>
      <w:r>
        <w:t xml:space="preserve">RR - 123600-33.2012.5.17.0004</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RECURSO DE REVISTA DO SEGUNDO RECLAMADO. RECURSO EXTRAORDINÁRIO. JUÍZO DE RETRATAÇÃO (ART.</w:t>
      </w:r>
    </w:p>
    <w:p/>
    <w:p>
      <w:pPr>
        <w:pStyle w:val="Heading2"/>
      </w:pPr>
      <w:r>
        <w:rPr>
          <w:b/>
          <w:bCs/>
        </w:rPr>
        <w:t xml:space="preserve">Resumo</w:t>
      </w:r>
    </w:p>
    <w:p>
      <w:r>
        <w:t xml:space="preserve">Recurso de revista do segundo reclamado contra condenação subsidiária de ente público tomador de serviços. O TRF condenou com base na ausência de prova de fiscalização, mas o STF fixou no Tema 1.118 que o ônus de comprovar falha na fiscalização incumbe ao trabalhador/MP, não ao contratante. Recurso provido para afastar responsabilidade subsidiária do poder público, alinhado à jurisprudência vinculante sobre o art. 71 da Lei 8.666/93.</w:t>
      </w:r>
    </w:p>
    <w:p/>
    <w:p>
      <w:pPr>
        <w:pStyle w:val="Heading2"/>
      </w:pPr>
      <w:r>
        <w:rPr>
          <w:b/>
          <w:bCs/>
        </w:rPr>
        <w:t xml:space="preserve">Ementa</w:t>
      </w:r>
    </w:p>
    <w:p>
      <w:r>
        <w:t xml:space="preserve">RECURSO DE REVISTA DO SEGUNDO RECLAMADO. RECURSO EXTRAORDINÁRIO. JUÍZO DE RETRATAÇÃO (ART. 1.030, II, DO CPC). RESPONSABILIDADE SUBSIDIÁRIA. TOMADOR DOS SERVIÇOS. ENTE PÚBLICO. FISCALIZAÇÃO DO CONTRATO. ÔNUS DA PROVA. TEMA 1.118 DA TABELA DE REPERCUSSÃO GERAL DO STF. CONDENAÇÃO INDEVIDA.</w:t>
      </w:r>
    </w:p>
    <w:p>
      <w:r>
        <w:t xml:space="preserve">1. No julgamento da ADC 16 o STF pronunciou a constitucionalidade do art. 71, caput e § 1º, da Lei 8.666/93, decisão dotada de efeito vinculante e eficácia contra todos.</w:t>
      </w:r>
    </w:p>
    <w:p>
      <w:r>
        <w:t xml:space="preserve">2. Ao julgamento do Tema 246 de repercussão geral, o Supremo Tribunal Federal reafirmou sua jurisprudência, fixando tese no sentido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3. Posteriormente, o Supremo Tribunal Federal, no julgamento do Tema 1.118 da Tabela de Repercussão Geral (RE 1298647), estabeleceu que a responsabilidade de comprovar a falha na fiscalização das obrigações trabalhistas por parte do contratante, quando se busca responsabilizar o poder público, recai sobre a parte autora da ação, seja o trabalhador, sindicato ou Ministério Público.</w:t>
      </w:r>
    </w:p>
    <w:p>
      <w:r>
        <w:t xml:space="preserve">4. No presente caso, o Tribunal Regional concluiu pela responsabilidade subsidiária do tomador dos serviços face à ausência de prova da fiscalização do cumprimento das obrigações trabalhistas devidas pela empresa contratada.</w:t>
      </w:r>
    </w:p>
    <w:p>
      <w:r>
        <w:t xml:space="preserve">5. Nessa medida, a tomadora dos serviços não deve responder pelos créditos obreiros por não demonstrar a fiscalização dos haveres trabalhistas, certo que tal ônus não lhe competia, nos termos da tese fixada no Tema 1.118 da Tabela de Repercussão Geral.</w:t>
      </w:r>
    </w:p>
    <w:p>
      <w:r>
        <w:t xml:space="preserve">6. Configurada a violação do artigo 71, § 1º, da Lei 8.666/93.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2026-06-05T10:26:40.258Z</dcterms:created>
  <dcterms:modified xsi:type="dcterms:W3CDTF">2026-06-05T10:26:40.258Z</dcterms:modified>
</cp:coreProperties>
</file>

<file path=docProps/custom.xml><?xml version="1.0" encoding="utf-8"?>
<Properties xmlns="http://schemas.openxmlformats.org/officeDocument/2006/custom-properties" xmlns:vt="http://schemas.openxmlformats.org/officeDocument/2006/docPropsVTypes"/>
</file>