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OFENSA À CONSTITUIÇÃO</w:t>
      </w:r>
    </w:p>
    <w:p/>
    <w:p>
      <w:r>
        <w:rPr>
          <w:b/>
          <w:bCs/>
        </w:rPr>
        <w:t xml:space="preserve">Recurso: </w:t>
      </w:r>
      <w:r>
        <w:t xml:space="preserve">RR - 42300-63.2012.5.17.0161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Hugo Carlos Scheuermann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RECURSO DE REVISTA DO SEGUNDO RECLAMADO. RECURSO EXTRAORDINÁRIO. JUÍZO DE RETRATAÇÃO (ART.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de ente público contra condenação por responsabilidade subsidiária por débitos trabalhistas de terceirizado. Tribunal reafirmou que, embora a Lei 8.666/93 não transfira automaticamente responsabilidade ao Poder Público, a culpa in vigilando foi caracterizada quando ficou comprovado que a administração deixou de fiscalizar obrigações trabalhistas mesmo diante de dispositivos contratuais específicos e prorrogou contrato com empresa inadimplente. Condenação mantida.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RECURSO DE REVISTA DO SEGUNDO RECLAMADO. RECURSO EXTRAORDINÁRIO. JUÍZO DE RETRATAÇÃO (ART. 1.030, II, DO CPC). RESPONSABILIDADE SUBSIDIÁRIA. TOMADOR DOS SERVIÇOS. ENTE PÚBLICO. HIPÓTESE EM QUE CONSTATADA A NEGLIGÊNCIA NA FISCALIZAÇÃO DO CONTRATO POR PARTE DO TOMADOR DOS SERVIÇOS. CULPA IN VIGILANDO CARACTERIZADA. CONDENAÇÃO MANTIDA.</w:t>
      </w:r>
    </w:p>
    <w:p>
      <w:r>
        <w:t xml:space="preserve">1. No julgamento da ADC 16 o STF pronunciou a constitucionalidade do art. 71, caput e § 1º, da Lei 8.666/93, decisão dotada de efeito vinculante e eficácia contra todos.</w:t>
      </w:r>
    </w:p>
    <w:p>
      <w:r>
        <w:t xml:space="preserve">2. Ao julgamento do Tema 246 de repercussão geral, o Supremo Tribunal Federal reafirmou sua jurisprudência, fixando tese no sentido de que " O inadimplemento dos encargos trabalhistas dos empregados do contratado não transfere automaticamente ao Poder Público contratante a responsabilidade pelo seu pagamento, seja em caráter solidário ou subsidiário, nos termos do art. 71, § 1º, da Lei nº 8.666/93 ".</w:t>
      </w:r>
    </w:p>
    <w:p>
      <w:r>
        <w:t xml:space="preserve">3. Posteriormente, o Supremo Tribunal Federal, no julgamento do Tema 1.118 da Tabela de Repercussão Geral (RE 1298647), estabeleceu que a responsabilidade de comprovar a falha na fiscalização das obrigações trabalhistas por parte do contratante, quando se busca responsabilizar o poder público, recai sobre a parte autora da ação, seja o trabalhador, sindicato ou Ministério Público.</w:t>
      </w:r>
    </w:p>
    <w:p>
      <w:r>
        <w:t xml:space="preserve">4. No caso dos autos, o acórdão recorrido revela que a instância de prova constatou a conivência do ente público com o descumprimento das obrigações por parte da prestadora dos serviços, pois, " embora houvesse inclusive dispositivo determinando que a empresa primeira reclamada apresentasse o comprovante de recolhimentos de INSS, FGTS e ISS, desde agosto de 2010, isso não ocorria. Evidente, assim, a ocorrência de falha na fiscalização. Mas não é só. Considerando o termo aditivo datado de 13 de junho de 2011, a conclusão é de que ocorreu a prorrogação do contrato mesmo não estando a primeira reclamada cumprindo com suas obrigações em relação aos seus empregados colocados à disposição do ente publico".</w:t>
      </w:r>
    </w:p>
    <w:p>
      <w:r>
        <w:t xml:space="preserve">5. Constata-se, assim, que o caso dos autos não é de transferência automática ao Poder Público contratante da responsabilidade pelo pagamento dos encargos trabalhistas dos empregados terceirizados, tampouco de atribuição do ônus de comprovar a fiscalização dos haveres trabalhistas ao ente público, mas de apuração de efetiva negligência na fiscalização. razão pela qual não há retratação a ser feita nos moldes do art. 1.030, II, do CPC. Acórdão mantido.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2026-06-05T10:20:58.315Z</dcterms:created>
  <dcterms:modified xsi:type="dcterms:W3CDTF">2026-06-05T10:20:58.315Z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