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RRAg - 100551-06.2018.5.01.0001</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DA RECLAMADA. NORMA COLETIVA APLICÁVEL.</w:t>
      </w:r>
    </w:p>
    <w:p/>
    <w:p>
      <w:pPr>
        <w:pStyle w:val="Heading2"/>
      </w:pPr>
      <w:r>
        <w:rPr>
          <w:b/>
          <w:bCs/>
        </w:rPr>
        <w:t xml:space="preserve">Resumo</w:t>
      </w:r>
    </w:p>
    <w:p>
      <w:r>
        <w:t xml:space="preserve">Recurso de revista da reclamada contra decisão sobre correção monetária de débitos trabalhistas. O TST acolheu a jurisprudência do STF que declarou a TR inconstitucional, determinando aplicação imediata do IPCA-E e SELIC conforme decisão de 2020, mesmo não sendo objeto específico das razões recursais, por tratar-se de matéria de ordem pública. Recurso conhecido e provido.</w:t>
      </w:r>
    </w:p>
    <w:p/>
    <w:p>
      <w:pPr>
        <w:pStyle w:val="Heading2"/>
      </w:pPr>
      <w:r>
        <w:rPr>
          <w:b/>
          <w:bCs/>
        </w:rPr>
        <w:t xml:space="preserve">Ementa</w:t>
      </w:r>
    </w:p>
    <w:p>
      <w:r>
        <w:t xml:space="preserve">I - AGRAVO DE INSTRUMENTO EM RECURSO DE REVISTA DA RECLAMADA. NORMA COLETIVA APLICÁVEL. PREQUESTIONAMENTO. TRANSCRIÇÃO INTEGRAL CAPÍTULO DO ACÓRDÃO RECORRIDO. INOBSERVÂNCIA DO ART. 896, § 1º-A, I, DA CLT. A parte, nas razões do recurso de revista, não observou o disposto no art. 896, § 1º-A, I, da CLT, porquanto a transcrição integral dos fundamentos do acórdão recorrido, sem indicação especifica do trecho que retrata o prequestionamento da matéria controvertida, não atende ao referido requisito de lei. Agravo de instrumento conhecido e não provido.</w:t>
      </w:r>
    </w:p>
    <w:p>
      <w:r>
        <w:t xml:space="preserve">II — RECURSO DE REVISTA INTERPOSTO PELA RECLAMADA. FASE DE CONHECIMENTO. ÍNDICES DE ATUALIZAÇÃO DOS DÉBITOS TRABALHISTAS. TAXA REFERENCIAL (TR). INCONSTITUCIONALIDADE. DECISÃO PROFERIDA PELO SUPREMO TRIBUNAL FEDERAL EM SEDE DE CONTROLE CONCENTRADO DE CONSTITUCIONALIDADE. MODULAÇÃO DE EFEITOS.</w:t>
      </w:r>
    </w:p>
    <w:p>
      <w:r>
        <w:t xml:space="preserve">1. O Supremo Tribunal Federal, em 18/12/2020, no julgamento conjunto das ADCs 58 e 59 e das ADIs 5857 e 6021, declarou a inconstitucionalidade da Taxa Referencial (TR) para a correção monetária dos débitos trabalhistas, definindo que, enquanto o Poder Legislativo não deliberar sobre a questão, devem ser aplicados os mesmos índices de correção monetária vigentes para as condenações cíveis em geral.</w:t>
      </w:r>
    </w:p>
    <w:p>
      <w:r>
        <w:t xml:space="preserve">2. O Supremo Tribunal Federal, a fim de garantir segurança jurídica e isonomia na aplicação do novo entendimento, modulou os efeitos do julgamento, de modo a preservar as sentenças transitadas em julgado que tenham expressamente fixado tanto o índice de correção monetária quanto a taxa de juros.</w:t>
      </w:r>
    </w:p>
    <w:p>
      <w:r>
        <w:t xml:space="preserve">3. No caso, trata-se de processo em curso, ainda na fase de conhecimento, razão pela qual se aplica de imediato a decisão proferida pelo STF, de modo a determinar a incidência do IPCA-E e juros correspondentes à TR, previstos no art. 39, caput , da Lei 8.177/91, na fase pré-processual; e incidência da taxa SELIC (que engloba juros e correção monetária) a partir do ajuizamento da ação. 4 – Muito embora as razões recursais tragam discussão apenas em torno da correção monetária, não há como se dissociá-la dos juros de mora, não havendo falar em julgamento ultra ou extra petita , em preclusão da matéria ou até mesmo em reformatio in pejus. É que, a lém do efeito vinculante da decisão do STF (art. 102, § 2º, da Constituição Federal), trata-se de matéria de ordem pública. Além disso, a aplicação de juros e correção monetária consiste em pedido implícito, que pode ser analisado inclusive de ofício pelo julgador (art. 322, § 1º, do CPC; Súmula 211 do TST e Súmula 254 do STF).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2026-06-05T10:21:39.037Z</dcterms:created>
  <dcterms:modified xsi:type="dcterms:W3CDTF">2026-06-05T10:21:39.037Z</dcterms:modified>
</cp:coreProperties>
</file>

<file path=docProps/custom.xml><?xml version="1.0" encoding="utf-8"?>
<Properties xmlns="http://schemas.openxmlformats.org/officeDocument/2006/custom-properties" xmlns:vt="http://schemas.openxmlformats.org/officeDocument/2006/docPropsVTypes"/>
</file>