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SINDICATO</w:t>
      </w:r>
    </w:p>
    <w:p>
      <w:r>
        <w:rPr>
          <w:i/>
          <w:iCs/>
          <w:color w:val="666666"/>
        </w:rPr>
        <w:t xml:space="preserve">SENTENÇA NORMATIVA</w:t>
      </w:r>
    </w:p>
    <w:p/>
    <w:p>
      <w:r>
        <w:rPr>
          <w:b/>
          <w:bCs/>
        </w:rPr>
        <w:t xml:space="preserve">Recurso: </w:t>
      </w:r>
      <w:r>
        <w:t xml:space="preserve">RRAg - 232-52.2015.5.23.0056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Mauricio Godinho Delgado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A) EMBARGOS DE DECLARAÇÃO DO SINDICATO. OMISSÃO CONFIGURADA. HORAS IN ITINERE. PREVISÃO EM NORMA COLETIVA.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do sindicato providos para reconhecer omissão quanto aos períodos de CCTs posteriores (2011-2015) que não previam horas in itinere, limitando a improcedência apenas aos períodos 2009-2011. Nos recursos remanescentes, confirmada a caracterização do grupo econômico pela mera coordenação interempresarial, afastando exigência de relação hierárquica, em alinhamento com legislações recentes (Lei de Trabalho Rural e outras).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A) EMBARGOS DE DECLARAÇÃO DO SINDICATO. OMISSÃO CONFIGURADA. HORAS IN ITINERE. PREVISÃO EM NORMA COLETIVA. EXCLUSÃO DA CONDENAÇÃO. LIMITAÇÃO AO PERÍODO DE SUA VIGÊNCIA (CCT’S DE 2009/2010 E 2010/2011). Essa 3ª Turma, ao manter a decisão monocrática que julgou totalmente improcedente a demanda, em virtude do reconhecimento da validade das normas coletivas que dispunham sobre as horas in itinere (CCTs de 2009/2010 e 2010/2011), incorreu em omissão quanto aos períodos de vigência posteriores CCTs (CCTs de 2011/2012, 2012/2013, 2013/2014, 2014/2015), que nada previam sobre tal parcela. Portanto, o provimento do recurso deve se limitar à improcedência do pedido de horas in itinere relativas ao período de vigência das CCTs de 2009/2010 e 2010/2011. Afastada a improcedência total da ação, faz-se necessário o exame dos demais temas do recurso e dos demais recursos, os quais foram julgados prejudicados pela decisão embargada. Embargos de declaração do Sindicato providos, com a atribuição de efeito modificativo ao julgado para dar provimento ao agravo do Sindicato, a fim de limitar o provimento do recurso de revista de União Avícola Industrial Ltda., julgando improcedente o pedido de horas in itinere apenas quanto aos períodos de vigência das CCT 2009/2010 e 2010/2011, passando ao exame dos demais temas do recurso de revista de União Avícola Agroindustrial Ltda. e dos demais agravos de instrumento, os quais haviam sido reputados prejudicados pela decisão monocrática.</w:t>
      </w:r>
    </w:p>
    <w:p>
      <w:r>
        <w:t xml:space="preserve">B) AGRAVO DE INSTRUMENTO DE UNIÃO AVÍCOLA AGROINDUSTRIAL LTDA. TEMAS REMANESCENTES. 1) HORAS IN ITINERE. PERÍODO DE VIGÊNCIA DAS CCTS DE 2011/2012, 2012/2013, 2013/2014 E 2014/2015. 2) LIMITAÇÃO DA CONDENAÇÃO. AUSÊNCIA DE CONDENAÇÃO NO PERÍODO DE VIGÊNCIA DA LEI 13.467/2017. Quanto às "horas in itinere – período contratual relativo às CCTs 2011-2012, 2012/2013, 2013/2014 e 2014/2015", constata-se a ausência de análise de tal questão pelo TRT de origem, de modo que a apontada contrariedade às Súmulas 90 e 277/TST esbarra nos óbices das Súmulas 126 e 297/TST. No tocante à "limitação da condenação", inócua a alegação, porquanto as horas in itinere pleiteadas estão limitadas a período anterior à entrada em vigor da Lei nº 13.467/2017. Agravo de instrumento desprovido.</w:t>
      </w:r>
    </w:p>
    <w:p>
      <w:r>
        <w:t xml:space="preserve">C) RECURSOS DE REVISTA DE UNIÃO AVÍCOLA AGROINDUSTRIAL LTDA. E BRF. S.A. IDENTIDADE DE MATÉRIAS. ANÁLISE EM CONJUNTO. RESPONSABILIDADE SOLIDÁRIA. GRUPO ECONÔMICO. CONFIGURAÇÃO. SÚMULA 126 DO TST. AUSÊNCIA DE TRANSCENDÊNCIA. Quanto ao tema "responsabilidade solidária - grupo econômico", a Corte Regional, a partir do detido exame e valoração do conjunto fático probatório produzido nos autos, firmou a convicção de que restou caracterizado o grupo econômico entre as Reclamadas, uma vez que ficou evidenciada a comunhão de interesses, bem como a atuação conjunta das empresas. Conclusão em sentido diverso esbarra no óbice da Súmula 126 do TST. De todo modo, embora na 3ª Turma, em sua composição originária, prevalecesse a tese da simples relação de coordenação para a configuração do grupo econômico, ocorreu uma oscilação jurisprudencial, em virtude de a SBDI-1 desta Corte ter apontado em direção contrária, no sentido de que seria necessária, também, a relação hierárquica entre as empresas. Contudo, reexaminando o assunto e considerando o avanço normativo ocorrido com a edição da Lei de Trabalho Rural (Lei nº 5.889/1973), que, em seu art. 3º, § 2º, adota a tese da mera coordenação interempresarial; considerando, ademais, que todo o Direito Brasileiro, em outros campos jurídicos, também passou a privilegiar a tese da mera coordenação interempresarial e a mais sólida responsabilização das empresas componentes do grupo (ilustrativamente, Lei nº 8.078/1990, em seu art. 28, § 5º; Lei nº 9.605/1998, em seu art. 4º; Lei nº 12.529/2011, em seu art. 34; Lei 12.846/2013, em seu art. 16, § 5°), esta 3ª Turma, inclusive em sua atual composição, decidiu se perfilar pela corrente moderna e atualizada de interpretação. Nesse quadro, sendo essencial ao grupo econômico justrabalhista a ideia de garantia, higidez econômica e correlação entre as entidades empresariais, tal como indicado pela regra jurídica da simples coordenação empresarial, mesmo que mantida a autonomia de gestão de cada empresa, esta Turma preserva seu entendimento anteriormente sedimentado, no sentido de considerar que o art. 2º, § 2º, da CLT, expressa contemporaneamente a vertente da coordenação interempresarial. Nesse sentido, julgados desta Terceira Turma. Assim, reputa-se que a causa não oferece transcendência com relação aos reflexos de natureza econômica, política, social ou jurídica, nos termos do art. 896-A, § 1º, da CLT. Recursos de revista não conhecidos.</w:t>
      </w:r>
    </w:p>
    <w:p>
      <w:r>
        <w:t xml:space="preserve">D) AGRAVO DE INSTRUMENTO DO SINDICATO. RECUSO DE REVISTA. LEGITIMIDADE ATIVA DO SINDICATO PARA PROMOVER A EXECUÇÃO. LEGITIMIDADE CONCORRENTE. TRANSCENDÊNCIA POLÍTICA RECONHECIDA. Demonstrado no agravo de instrumento que o recurso de revista preenchia os requisitos do art. 896 da CLT e, constatado o desrespeito à jurisprudência do Tribunal Superior do Trabalho, reputa-se caracterizada a transcendência política da causa, nos termos do art. 896-A, §1º, II, da CLT. Diante disso, dá-se provimento ao agravo de instrumento, para melhor análise da arguição de violação ao art. 8º, III, da CF, suscitado no recurso de revista. Agravo de instrumento provido.</w:t>
      </w:r>
    </w:p>
    <w:p>
      <w:r>
        <w:t xml:space="preserve">E) RECURSO DE REVISTA. LEGITIMIDADE ATIVA DO SINDICATO PARA PROMOVER A EXECUÇÃO. LEGITIMIDADE CONCORRENTE. TRANSCENDÊNCIA POLÍTICA RECONHECIDA. Esta Corte Superior possui o entendimento de que é concorrente a legitimidade para a promoção de execução de sentença proferida em ação coletiva. Assim, tanto o sindicato pode executar o título executivo judicial quanto o trabalhador, de forma individual. Nesse sentido, julgados da SBDI-1 e de Turmas desta Corte. No caso dos autos , o Tribunal Regional, ao entender que " a efetividade da execução da presente ação coletiva, dar-se-á por meio de execução individualizada, assim como decidido pelo juízo de origem ", proferiu decisão dissonante da jurisprudência desta Corte. Recurso de revista conhecido e provido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2026-06-05T10:22:47.842Z</dcterms:created>
  <dcterms:modified xsi:type="dcterms:W3CDTF">2026-06-05T10:22:47.842Z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