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HORAS EXTRAORDINÁRIAS</w:t>
      </w:r>
    </w:p>
    <w:p>
      <w:r>
        <w:rPr>
          <w:i/>
          <w:iCs/>
          <w:color w:val="666666"/>
        </w:rPr>
        <w:t xml:space="preserve">INTERVALO ENTRE TURNOS</w:t>
      </w:r>
    </w:p>
    <w:p/>
    <w:p>
      <w:r>
        <w:rPr>
          <w:b/>
          <w:bCs/>
        </w:rPr>
        <w:t xml:space="preserve">Recurso: </w:t>
      </w:r>
      <w:r>
        <w:t xml:space="preserve">AIRR - 1138-67.2015.5.02.0075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DE INSTRUMENTO EM RECURSO DE REVISTA DO RECLAMANTE INTERPOSTO NA VIGÊNCIA DA LEI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revista trabalhista sobre intervalo intrajornada. A Segunda Turma confirmou ser válida a redução do intervalo por negociação coletiva, desde respeitado o mínimo de 30 minutos, conforme jurisprudência firme e Tema 1.046 de Repercussão Geral do STF. Agravo não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DE INSTRUMENTO EM RECURSO DE REVISTA DO RECLAMANTE INTERPOSTO NA VIGÊNCIA DA LEI 13.467/2017. INTERVALO INTRAJORNADA. REDUÇÃO POR NORMA COLETIVA. TEMA 1.046 DE REPERCUSSÃO GERAL A decisão do Tribunal Regional está em consonância com a jurisprudência prevalecente desta Segunda Turma de que o intervalo intrajornada não é direito irrenunciável de indisponibilidade absoluta, sendo possível a redução por negociação coletiva, nos termos do art. 7.º, XXVI, da Constituição Federal e da tese firmada no Tema 1046 de Repercussão Geral do STF, desde que haja respeito ao mínimo de 30 (trinta) minutos, como no caso dos autos. Agravo de instrumento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2026-06-05T10:23:02.968Z</dcterms:created>
  <dcterms:modified xsi:type="dcterms:W3CDTF">2026-06-05T10:23:02.968Z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