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REGIMENTAL</w:t>
      </w:r>
    </w:p>
    <w:p/>
    <w:p>
      <w:r>
        <w:rPr>
          <w:b/>
          <w:bCs/>
        </w:rPr>
        <w:t xml:space="preserve">Recurso: </w:t>
      </w:r>
      <w:r>
        <w:t xml:space="preserve">Ag-RRAg - 100995-61.2019.5.01.0047</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ESTADO RECLAMADO. RECURSO DE REVISTA COM AGRAVO. MATÉRIA OBJETO DO RECURSO DE REVISTA.</w:t>
      </w:r>
    </w:p>
    <w:p/>
    <w:p>
      <w:pPr>
        <w:pStyle w:val="Heading2"/>
      </w:pPr>
      <w:r>
        <w:rPr>
          <w:b/>
          <w:bCs/>
        </w:rPr>
        <w:t xml:space="preserve">Resumo</w:t>
      </w:r>
    </w:p>
    <w:p>
      <w:r>
        <w:t xml:space="preserve">Recurso de Revista em matéria de responsabilidade subsidiária de ente público tomador de serviços. O TST reformou decisão do TRT que condenava a administração pública ao pagamento de créditos trabalhistas com base na ausência de fiscalização contratual, aplicando a tese do STF (Tema 1.118) segundo a qual o ônus de comprovar falha na fiscalização incumbe ao reclamante, não ao tomador dos serviços, afastando responsabilidade subsidiária automática.</w:t>
      </w:r>
    </w:p>
    <w:p/>
    <w:p>
      <w:pPr>
        <w:pStyle w:val="Heading2"/>
      </w:pPr>
      <w:r>
        <w:rPr>
          <w:b/>
          <w:bCs/>
        </w:rPr>
        <w:t xml:space="preserve">Ementa</w:t>
      </w:r>
    </w:p>
    <w:p>
      <w:r>
        <w:t xml:space="preserve">I - AGRAVO DO ESTADO RECLAMADO. RECURSO DE REVISTA COM AGRAVO. MATÉRIA OBJETO DO RECURSO DE REVISTA. RECURSO EXTRAORDINÁRIO. JUÍZO DE RETRATAÇÃO (ART. 1.030, II, DO CPC). RESPONSABILIDADE SUBSIDIÁRIA. TOMADOR DOS SERVIÇOS. ENTE PÚBLICO.</w:t>
      </w:r>
    </w:p>
    <w:p>
      <w:r>
        <w:t xml:space="preserve">1. Esta Primeira Turma negou provimento ao agravo interno do segundo reclamado - ente público, ao fundamento de estar correta a decisão do e. Tribunal Regional, que atribuiu responsabilidade subsidiária ao tomador dos serviços, por não ter comprovado a fiscalização do cumprimento das obrigações contratuais e legais por parte da empresa contratada.</w:t>
      </w:r>
    </w:p>
    <w:p>
      <w:r>
        <w:t xml:space="preserve">2. Estando a decisão em aparente dissonância do posicionamento firmado pelo Supremo Tribunal Federal, no exercício do juízo de retratação, nos moldes do art. 1.030, II, do CPC/2015, impõe-se o provimento ao agravo interno, a fim de viabilizar o reexame do recurso de revista. Agravo conhecido e provido.</w:t>
      </w:r>
    </w:p>
    <w:p>
      <w:r>
        <w:t xml:space="preserve">II — RECURSO DE REVISTA DO ESTADO RECLAMADO.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5º, II, da Constituição Federal.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2026-06-05T09:02:25.783Z</dcterms:created>
  <dcterms:modified xsi:type="dcterms:W3CDTF">2026-06-05T09:02:25.783Z</dcterms:modified>
</cp:coreProperties>
</file>

<file path=docProps/custom.xml><?xml version="1.0" encoding="utf-8"?>
<Properties xmlns="http://schemas.openxmlformats.org/officeDocument/2006/custom-properties" xmlns:vt="http://schemas.openxmlformats.org/officeDocument/2006/docPropsVTypes"/>
</file>