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PRESCRIÇÃO</w:t>
      </w:r>
    </w:p>
    <w:p>
      <w:r>
        <w:rPr>
          <w:i/>
          <w:iCs/>
          <w:color w:val="666666"/>
        </w:rPr>
        <w:t xml:space="preserve">RECLAMAÇÃO TRABALHISTA</w:t>
      </w:r>
    </w:p>
    <w:p/>
    <w:p>
      <w:r>
        <w:rPr>
          <w:b/>
          <w:bCs/>
        </w:rPr>
        <w:t xml:space="preserve">Recurso: </w:t>
      </w:r>
      <w:r>
        <w:t xml:space="preserve">RRAg - 170-60.2016.5.07.0011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Joao Pedro Silvestrin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RECURSO DE REVISTA INTERSPOSTO PELA RECLAMADA. PRESCRIÇÃO. TRANSCENDÊNCIA POLÍTICA RECONHECIDA.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Revista da reclamada sobre prescrição em ação de indenização por acidente do trabalho. O tribunal reconheceu que o prazo prescricional começa quando cessa o benefício previdenciário (21/8/2007), não na data do ajuizamento (1º/2/2016), caracterizando prescrição da ação. Recurso conhecido e provido.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RECURSO DE REVISTA INTERSPOSTO PELA RECLAMADA. PRESCRIÇÃO. TRANSCENDÊNCIA POLÍTICA RECONHECIDA. A jurisprudência deste Tribunal firmou-se no sentido de que a ciência inequívoca do dano se consuma com a aposentadoria por invalidez ou o fim do auxílio-doença ou auxílio-doença acidentário. Isso porque são nesses momentos que todos os efeitos do dano sofrido já estão consolidados, nascendo a partir daí o direito de pretender a reparação civil. Dessa forma, e considerando-se que a cessação do benefício previdenciário ocorreu em 21/8/2007, quando o reclamante foi reabilitado para nova função, constata-se que a presente reclamação trabalhista está prescrita, nos termos do art. 7º, XXIX, da CF, e da Súmula nº 278 do STJ, pois ajuizada em 1º/2/2016, muitos anos após o marco temporal que indica a ciência inequívoca da incapacidade laboral. Recurso de revista conhecido e provido. Prejudicada a análise do agravo de instrumento.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2026-06-05T09:02:18.803Z</dcterms:created>
  <dcterms:modified xsi:type="dcterms:W3CDTF">2026-06-05T09:02:18.803Z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