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CORREÇÃO MONETÁRIA</w:t>
      </w:r>
    </w:p>
    <w:p>
      <w:r>
        <w:rPr>
          <w:i/>
          <w:iCs/>
          <w:color w:val="666666"/>
        </w:rPr>
        <w:t xml:space="preserve">EXECUÇÃO POR PRECATÓRIO</w:t>
      </w:r>
    </w:p>
    <w:p/>
    <w:p>
      <w:r>
        <w:rPr>
          <w:b/>
          <w:bCs/>
        </w:rPr>
        <w:t xml:space="preserve">Recurso: </w:t>
      </w:r>
      <w:r>
        <w:t xml:space="preserve">Ag-AIRR - 1721-03.2011.5.09.0009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INTERNO. AGRAVO DE INSTRUMENTO. RECURSO DE REVISTA. INTERPOSIÇÃO SOB A ÉGIDE DA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contra decisão que aplicou IPCA-E e SELIC em execução contra a Fazenda Pública. O tribunal manteve a decisão por estar alinhada à jurisprudência do STF (Tema 810) e à EC 113/2021, vedando reformatio in pejus diante de precedentes obrigatórios. Agravo não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INTERNO. AGRAVO DE INSTRUMENTO. RECURSO DE REVISTA. INTERPOSIÇÃO SOB A ÉGIDE DA LEI Nº 13.467/2017. EXECUÇÃO. ECT. FAZENDA PÚBLICA. CORREÇÃO MONETÁRIA. TEMA 810 (IPCA-E) e 1170 DA TABELA DE REPERCUSSÃO GERAL. EC Nº 113/2021 (SELIC). No caso concreto, verifica-se que a decisão agravada está em consonância com o atual entendimento da Suprema Corte consolidado nas ADIs 4.357, 4.425 e 5.348 e no RE 870.947 (Tema nº 810), bem como com o teor da EC nº 113/2021. Registre-se, ainda, que não há que se falar em reformatio in pejus , na medida em que, no tocante ao índice de correção monetária e à taxa de juros incidentes sobre as condenações impostas à Fazenda Pública, sobreveio, com o julgamento das ADIs 4.357, 4.425 e 5.348 e do RE 870.947 (Tema nº 810), decisão de observância obrigatória do Supremo Tribunal Federal. Precedentes. Logo, por qualquer prisma que se analise a questão, não se vislumbra a possibilidade de alterar a decisão agravada. Assim, incólumes os dispositivos legais apontados como violados. Agravo interno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2026-06-05T10:18:52.150Z</dcterms:created>
  <dcterms:modified xsi:type="dcterms:W3CDTF">2026-06-05T10:18:52.150Z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